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1A24" w:rsidRDefault="004B1A24" w:rsidP="004B1A24">
      <w:pPr>
        <w:pStyle w:val="DefenceSubTitle"/>
        <w:rPr>
          <w:sz w:val="22"/>
        </w:rPr>
      </w:pPr>
      <w:r w:rsidRPr="00E143D3">
        <w:rPr>
          <w:sz w:val="22"/>
        </w:rPr>
        <w:t xml:space="preserve">SCOPE OF </w:t>
      </w:r>
      <w:r>
        <w:rPr>
          <w:sz w:val="22"/>
        </w:rPr>
        <w:t>WORKS</w:t>
      </w:r>
      <w:r w:rsidRPr="00E143D3">
        <w:rPr>
          <w:sz w:val="22"/>
        </w:rPr>
        <w:t xml:space="preserve"> - </w:t>
      </w:r>
      <w:r>
        <w:rPr>
          <w:sz w:val="22"/>
        </w:rPr>
        <w:t>DEFENCE INFRASTRUCTURE PANEL - MAJOR CONSTRUCTION 2025 - 2030</w:t>
      </w:r>
    </w:p>
    <w:p w:rsidR="004B1A24" w:rsidRDefault="004B1A24" w:rsidP="004B1A24">
      <w:pPr>
        <w:pStyle w:val="CUTable1"/>
        <w:tabs>
          <w:tab w:val="clear" w:pos="360"/>
        </w:tabs>
        <w:ind w:left="567" w:hanging="567"/>
        <w:rPr>
          <w:rFonts w:ascii="Times New Roman" w:hAnsi="Times New Roman"/>
          <w:b/>
          <w:bCs/>
          <w:szCs w:val="20"/>
        </w:rPr>
      </w:pPr>
      <w:bookmarkStart w:id="0" w:name="_Ref167707377"/>
      <w:r w:rsidRPr="00253207">
        <w:rPr>
          <w:rFonts w:ascii="Times New Roman" w:hAnsi="Times New Roman"/>
          <w:b/>
          <w:bCs/>
          <w:szCs w:val="20"/>
        </w:rPr>
        <w:t>Work the subject of the Panel</w:t>
      </w:r>
      <w:bookmarkEnd w:id="0"/>
    </w:p>
    <w:p w:rsidR="004B1A24" w:rsidRPr="0000502B" w:rsidRDefault="004B1A24" w:rsidP="004B1A24">
      <w:pPr>
        <w:pStyle w:val="Para0"/>
        <w:spacing w:after="240"/>
        <w:rPr>
          <w:rFonts w:ascii="Times New Roman" w:eastAsia="Arial" w:hAnsi="Times New Roman" w:cs="Times New Roman"/>
          <w:color w:val="auto"/>
          <w:lang w:val="en-AU"/>
        </w:rPr>
      </w:pPr>
      <w:r w:rsidRPr="0000502B">
        <w:rPr>
          <w:rFonts w:ascii="Times New Roman" w:eastAsia="Arial" w:hAnsi="Times New Roman" w:cs="Times New Roman"/>
          <w:color w:val="auto"/>
          <w:lang w:val="en-AU"/>
        </w:rPr>
        <w:t>Panel Contractors will be engaged under the Panel to deliver major construction and capital facilities projects and carry out related activities. The projects to be delivered under the Panel will:</w:t>
      </w:r>
    </w:p>
    <w:p w:rsidR="004B1A24" w:rsidRPr="00253207" w:rsidRDefault="004B1A24" w:rsidP="004B1A24">
      <w:pPr>
        <w:pStyle w:val="Para0"/>
        <w:numPr>
          <w:ilvl w:val="0"/>
          <w:numId w:val="2"/>
        </w:numPr>
        <w:ind w:left="709" w:hanging="709"/>
        <w:rPr>
          <w:rFonts w:ascii="Times New Roman" w:eastAsia="Arial" w:hAnsi="Times New Roman" w:cs="Times New Roman"/>
          <w:color w:val="auto"/>
          <w:lang w:val="en-AU"/>
        </w:rPr>
      </w:pPr>
      <w:r w:rsidRPr="00253207">
        <w:rPr>
          <w:rFonts w:ascii="Times New Roman" w:eastAsia="Arial" w:hAnsi="Times New Roman" w:cs="Times New Roman"/>
          <w:color w:val="auto"/>
          <w:lang w:val="en-AU"/>
        </w:rPr>
        <w:t xml:space="preserve">generally (but need not) constitute a "work" as defined in the </w:t>
      </w:r>
      <w:r w:rsidRPr="00253207">
        <w:rPr>
          <w:rFonts w:ascii="Times New Roman" w:eastAsia="Arial" w:hAnsi="Times New Roman" w:cs="Times New Roman"/>
          <w:i/>
          <w:iCs/>
          <w:color w:val="auto"/>
          <w:lang w:val="en-AU"/>
        </w:rPr>
        <w:t>Public Works Committee Act 1969</w:t>
      </w:r>
      <w:r w:rsidRPr="00253207">
        <w:rPr>
          <w:rFonts w:ascii="Times New Roman" w:eastAsia="Arial" w:hAnsi="Times New Roman" w:cs="Times New Roman"/>
          <w:color w:val="auto"/>
          <w:lang w:val="en-AU"/>
        </w:rPr>
        <w:t xml:space="preserve"> (</w:t>
      </w:r>
      <w:proofErr w:type="spellStart"/>
      <w:r w:rsidRPr="00253207">
        <w:rPr>
          <w:rFonts w:ascii="Times New Roman" w:eastAsia="Arial" w:hAnsi="Times New Roman" w:cs="Times New Roman"/>
          <w:color w:val="auto"/>
          <w:lang w:val="en-AU"/>
        </w:rPr>
        <w:t>Cth</w:t>
      </w:r>
      <w:proofErr w:type="spellEnd"/>
      <w:r w:rsidRPr="00253207">
        <w:rPr>
          <w:rFonts w:ascii="Times New Roman" w:eastAsia="Arial" w:hAnsi="Times New Roman" w:cs="Times New Roman"/>
          <w:color w:val="auto"/>
          <w:lang w:val="en-AU"/>
        </w:rPr>
        <w:t xml:space="preserve">); </w:t>
      </w:r>
    </w:p>
    <w:p w:rsidR="004B1A24" w:rsidRPr="00253207" w:rsidRDefault="004B1A24" w:rsidP="004B1A24">
      <w:pPr>
        <w:pStyle w:val="Para0"/>
        <w:numPr>
          <w:ilvl w:val="0"/>
          <w:numId w:val="2"/>
        </w:numPr>
        <w:ind w:left="709" w:hanging="709"/>
        <w:rPr>
          <w:rFonts w:ascii="Times New Roman" w:eastAsia="Arial" w:hAnsi="Times New Roman" w:cs="Times New Roman"/>
          <w:color w:val="auto"/>
          <w:lang w:val="en-AU"/>
        </w:rPr>
      </w:pPr>
      <w:r w:rsidRPr="00253207">
        <w:rPr>
          <w:rFonts w:ascii="Times New Roman" w:eastAsia="Arial" w:hAnsi="Times New Roman" w:cs="Times New Roman"/>
          <w:color w:val="auto"/>
          <w:lang w:val="en-AU"/>
        </w:rPr>
        <w:t>be carried out within Australia; and</w:t>
      </w:r>
    </w:p>
    <w:p w:rsidR="004B1A24" w:rsidRPr="00253207" w:rsidRDefault="004B1A24" w:rsidP="004B1A24">
      <w:pPr>
        <w:pStyle w:val="Para0"/>
        <w:numPr>
          <w:ilvl w:val="0"/>
          <w:numId w:val="2"/>
        </w:numPr>
        <w:spacing w:after="240"/>
        <w:ind w:left="709" w:hanging="709"/>
        <w:rPr>
          <w:rFonts w:ascii="Times New Roman" w:eastAsia="Arial" w:hAnsi="Times New Roman" w:cs="Times New Roman"/>
          <w:color w:val="auto"/>
          <w:lang w:val="en-AU"/>
        </w:rPr>
      </w:pPr>
      <w:proofErr w:type="gramStart"/>
      <w:r w:rsidRPr="00253207">
        <w:rPr>
          <w:rFonts w:ascii="Times New Roman" w:eastAsia="Arial" w:hAnsi="Times New Roman" w:cs="Times New Roman"/>
          <w:color w:val="auto"/>
          <w:lang w:val="en-AU"/>
        </w:rPr>
        <w:t>be</w:t>
      </w:r>
      <w:proofErr w:type="gramEnd"/>
      <w:r w:rsidRPr="00253207">
        <w:rPr>
          <w:rFonts w:ascii="Times New Roman" w:eastAsia="Arial" w:hAnsi="Times New Roman" w:cs="Times New Roman"/>
          <w:color w:val="auto"/>
          <w:lang w:val="en-AU"/>
        </w:rPr>
        <w:t xml:space="preserve"> valued at or above $200 million (exclusive of GST), with the average value of projects anticipated to be between $200 million (exclusive of GST) and $600 million (exclusive of GST). </w:t>
      </w:r>
    </w:p>
    <w:p w:rsidR="004B1A24" w:rsidRPr="00253207" w:rsidRDefault="004B1A24" w:rsidP="004B1A24">
      <w:pPr>
        <w:pStyle w:val="Para0"/>
        <w:spacing w:after="240"/>
        <w:rPr>
          <w:rFonts w:ascii="Times New Roman" w:eastAsia="Arial" w:hAnsi="Times New Roman" w:cs="Times New Roman"/>
          <w:color w:val="auto"/>
          <w:lang w:val="en-AU"/>
        </w:rPr>
      </w:pPr>
      <w:r w:rsidRPr="00253207">
        <w:rPr>
          <w:rFonts w:ascii="Times New Roman" w:eastAsia="Arial" w:hAnsi="Times New Roman" w:cs="Times New Roman"/>
          <w:color w:val="auto"/>
          <w:lang w:val="en-AU"/>
        </w:rPr>
        <w:t xml:space="preserve">To the extent that the Department of Defence is the procuring agency, the types of projects which are anticipated to be delivered under the Panel include those relating to airfields, heavy civil, fuel infrastructure, UXO remediation, environmental remediation, marine, engineering services and utilities and explosive ordnance. </w:t>
      </w:r>
    </w:p>
    <w:p w:rsidR="004B1A24" w:rsidRPr="00253207" w:rsidRDefault="004B1A24" w:rsidP="004B1A24">
      <w:pPr>
        <w:pStyle w:val="CUTable1"/>
        <w:tabs>
          <w:tab w:val="clear" w:pos="360"/>
        </w:tabs>
        <w:ind w:left="567" w:hanging="567"/>
        <w:rPr>
          <w:rFonts w:ascii="Times New Roman" w:hAnsi="Times New Roman"/>
          <w:b/>
          <w:bCs/>
          <w:szCs w:val="20"/>
        </w:rPr>
      </w:pPr>
      <w:r w:rsidRPr="00253207">
        <w:rPr>
          <w:rFonts w:ascii="Times New Roman" w:hAnsi="Times New Roman"/>
          <w:b/>
          <w:bCs/>
          <w:szCs w:val="20"/>
        </w:rPr>
        <w:t>Delivery Methods</w:t>
      </w:r>
    </w:p>
    <w:p w:rsidR="004B1A24" w:rsidRPr="00253207" w:rsidRDefault="004B1A24" w:rsidP="004B1A24">
      <w:pPr>
        <w:pStyle w:val="Para0"/>
        <w:rPr>
          <w:rFonts w:ascii="Times New Roman" w:eastAsia="Arial" w:hAnsi="Times New Roman" w:cs="Times New Roman"/>
          <w:color w:val="auto"/>
          <w:lang w:val="en-AU"/>
        </w:rPr>
      </w:pPr>
      <w:r w:rsidRPr="00253207">
        <w:rPr>
          <w:rFonts w:ascii="Times New Roman" w:eastAsia="Arial" w:hAnsi="Times New Roman" w:cs="Times New Roman"/>
          <w:color w:val="auto"/>
          <w:lang w:val="en-AU"/>
        </w:rPr>
        <w:t>Panel Contractors may be engaged under any delivery method specified by the relevant Contract. Such delivery methods may include the following:</w:t>
      </w:r>
    </w:p>
    <w:p w:rsidR="004B1A24" w:rsidRPr="00253207" w:rsidRDefault="004B1A24" w:rsidP="004B1A24">
      <w:pPr>
        <w:pStyle w:val="Para0"/>
        <w:rPr>
          <w:rFonts w:ascii="Times New Roman" w:eastAsia="Arial" w:hAnsi="Times New Roman" w:cs="Times New Roman"/>
          <w:i/>
          <w:iCs/>
          <w:color w:val="auto"/>
          <w:lang w:val="en-AU"/>
        </w:rPr>
      </w:pPr>
      <w:r w:rsidRPr="00253207">
        <w:rPr>
          <w:rFonts w:ascii="Times New Roman" w:eastAsia="Arial" w:hAnsi="Times New Roman" w:cs="Times New Roman"/>
          <w:i/>
          <w:iCs/>
          <w:color w:val="auto"/>
          <w:lang w:val="en-AU"/>
        </w:rPr>
        <w:t>Construct only</w:t>
      </w:r>
    </w:p>
    <w:p w:rsidR="004B1A24" w:rsidRPr="00253207" w:rsidRDefault="004B1A24" w:rsidP="004B1A24">
      <w:pPr>
        <w:pStyle w:val="Para0"/>
        <w:rPr>
          <w:rFonts w:ascii="Times New Roman" w:eastAsia="Arial" w:hAnsi="Times New Roman" w:cs="Times New Roman"/>
          <w:color w:val="auto"/>
          <w:lang w:val="en-AU"/>
        </w:rPr>
      </w:pPr>
      <w:r w:rsidRPr="00253207">
        <w:rPr>
          <w:rFonts w:ascii="Times New Roman" w:eastAsia="Arial" w:hAnsi="Times New Roman" w:cs="Times New Roman"/>
          <w:color w:val="auto"/>
          <w:lang w:val="en-AU"/>
        </w:rPr>
        <w:t xml:space="preserve">A construct only model is used for the engagement of a contractor for the delivery component of a project only. The principal will provide the design and the contractor is engaged to construct the project in accordance with that design. A construct only contract is predicated on the contractor being provided with a fully documented design at the time of tender with no further design work needed except for shop drawings, the documentation of any variations and any design for provisional sum work. </w:t>
      </w:r>
    </w:p>
    <w:p w:rsidR="004B1A24" w:rsidRPr="00253207" w:rsidRDefault="004B1A24" w:rsidP="004B1A24">
      <w:pPr>
        <w:pStyle w:val="Para0"/>
        <w:rPr>
          <w:rFonts w:ascii="Times New Roman" w:eastAsia="Arial" w:hAnsi="Times New Roman" w:cs="Times New Roman"/>
          <w:i/>
          <w:iCs/>
          <w:color w:val="auto"/>
          <w:lang w:val="en-AU"/>
        </w:rPr>
      </w:pPr>
      <w:r w:rsidRPr="00253207">
        <w:rPr>
          <w:rFonts w:ascii="Times New Roman" w:eastAsia="Arial" w:hAnsi="Times New Roman" w:cs="Times New Roman"/>
          <w:i/>
          <w:iCs/>
          <w:color w:val="auto"/>
          <w:lang w:val="en-AU"/>
        </w:rPr>
        <w:t>Design and construct</w:t>
      </w:r>
    </w:p>
    <w:p w:rsidR="004B1A24" w:rsidRPr="00253207" w:rsidRDefault="004B1A24" w:rsidP="004B1A24">
      <w:pPr>
        <w:pStyle w:val="Para0"/>
        <w:rPr>
          <w:rFonts w:ascii="Times New Roman" w:eastAsia="Arial" w:hAnsi="Times New Roman" w:cs="Times New Roman"/>
          <w:color w:val="auto"/>
          <w:lang w:val="en-AU"/>
        </w:rPr>
      </w:pPr>
      <w:r w:rsidRPr="00253207">
        <w:rPr>
          <w:rFonts w:ascii="Times New Roman" w:eastAsia="Arial" w:hAnsi="Times New Roman" w:cs="Times New Roman"/>
          <w:color w:val="auto"/>
          <w:lang w:val="en-AU"/>
        </w:rPr>
        <w:t xml:space="preserve">A design and construct model is used for the engagement of a contractor to design and construct the project so as to meet the needs of the principal. A works description or design documentation may include some basic or incomplete designs and specifications which the contractor will be required to complete. </w:t>
      </w:r>
    </w:p>
    <w:p w:rsidR="004B1A24" w:rsidRPr="00253207" w:rsidRDefault="004B1A24" w:rsidP="004B1A24">
      <w:pPr>
        <w:pStyle w:val="Para0"/>
        <w:rPr>
          <w:rFonts w:ascii="Times New Roman" w:eastAsia="Arial" w:hAnsi="Times New Roman" w:cs="Times New Roman"/>
          <w:i/>
          <w:iCs/>
          <w:color w:val="auto"/>
          <w:lang w:val="en-AU"/>
        </w:rPr>
      </w:pPr>
      <w:r w:rsidRPr="00253207">
        <w:rPr>
          <w:rFonts w:ascii="Times New Roman" w:eastAsia="Arial" w:hAnsi="Times New Roman" w:cs="Times New Roman"/>
          <w:i/>
          <w:iCs/>
          <w:color w:val="auto"/>
          <w:lang w:val="en-AU"/>
        </w:rPr>
        <w:t>Document and construct</w:t>
      </w:r>
    </w:p>
    <w:p w:rsidR="004B1A24" w:rsidRPr="00253207" w:rsidRDefault="004B1A24" w:rsidP="004B1A24">
      <w:pPr>
        <w:pStyle w:val="Para0"/>
        <w:rPr>
          <w:rFonts w:ascii="Times New Roman" w:eastAsia="Arial" w:hAnsi="Times New Roman" w:cs="Times New Roman"/>
          <w:color w:val="auto"/>
          <w:lang w:val="en-AU"/>
        </w:rPr>
      </w:pPr>
      <w:r w:rsidRPr="00253207">
        <w:rPr>
          <w:rFonts w:ascii="Times New Roman" w:eastAsia="Arial" w:hAnsi="Times New Roman" w:cs="Times New Roman"/>
          <w:color w:val="auto"/>
          <w:lang w:val="en-AU"/>
        </w:rPr>
        <w:t xml:space="preserve">A </w:t>
      </w:r>
      <w:r>
        <w:rPr>
          <w:rFonts w:ascii="Times New Roman" w:eastAsia="Arial" w:hAnsi="Times New Roman" w:cs="Times New Roman"/>
          <w:color w:val="auto"/>
          <w:lang w:val="en-AU"/>
        </w:rPr>
        <w:t>document</w:t>
      </w:r>
      <w:r w:rsidRPr="00253207">
        <w:rPr>
          <w:rFonts w:ascii="Times New Roman" w:eastAsia="Arial" w:hAnsi="Times New Roman" w:cs="Times New Roman"/>
          <w:color w:val="auto"/>
          <w:lang w:val="en-AU"/>
        </w:rPr>
        <w:t xml:space="preserve"> and construct model is used where the principal has commenced (and possibly advanced) the </w:t>
      </w:r>
      <w:proofErr w:type="gramStart"/>
      <w:r w:rsidRPr="00253207">
        <w:rPr>
          <w:rFonts w:ascii="Times New Roman" w:eastAsia="Arial" w:hAnsi="Times New Roman" w:cs="Times New Roman"/>
          <w:color w:val="auto"/>
          <w:lang w:val="en-AU"/>
        </w:rPr>
        <w:t>design</w:t>
      </w:r>
      <w:proofErr w:type="gramEnd"/>
      <w:r w:rsidRPr="00253207">
        <w:rPr>
          <w:rFonts w:ascii="Times New Roman" w:eastAsia="Arial" w:hAnsi="Times New Roman" w:cs="Times New Roman"/>
          <w:color w:val="auto"/>
          <w:lang w:val="en-AU"/>
        </w:rPr>
        <w:t xml:space="preserve"> of the project, usually through the engagement of design consultants. The contractor will then take over the design (and will usually have the design </w:t>
      </w:r>
      <w:proofErr w:type="gramStart"/>
      <w:r w:rsidRPr="00253207">
        <w:rPr>
          <w:rFonts w:ascii="Times New Roman" w:eastAsia="Arial" w:hAnsi="Times New Roman" w:cs="Times New Roman"/>
          <w:color w:val="auto"/>
          <w:lang w:val="en-AU"/>
        </w:rPr>
        <w:t>consultants</w:t>
      </w:r>
      <w:proofErr w:type="gramEnd"/>
      <w:r w:rsidRPr="00253207">
        <w:rPr>
          <w:rFonts w:ascii="Times New Roman" w:eastAsia="Arial" w:hAnsi="Times New Roman" w:cs="Times New Roman"/>
          <w:color w:val="auto"/>
          <w:lang w:val="en-AU"/>
        </w:rPr>
        <w:t xml:space="preserve"> novated to it) and so bears single line responsibility to the principal for design in a similar manner to a design and construct contractor. </w:t>
      </w:r>
    </w:p>
    <w:p w:rsidR="004B1A24" w:rsidRPr="009F5810" w:rsidRDefault="004B1A24" w:rsidP="004B1A24">
      <w:pPr>
        <w:pStyle w:val="Para0"/>
        <w:rPr>
          <w:rFonts w:ascii="Times New Roman" w:eastAsia="Arial" w:hAnsi="Times New Roman" w:cs="Times New Roman"/>
          <w:color w:val="auto"/>
          <w:lang w:val="en-AU"/>
        </w:rPr>
      </w:pPr>
      <w:r w:rsidRPr="009F5810">
        <w:rPr>
          <w:rFonts w:ascii="Times New Roman" w:eastAsia="Arial" w:hAnsi="Times New Roman" w:cs="Times New Roman"/>
          <w:i/>
          <w:iCs/>
          <w:color w:val="auto"/>
          <w:lang w:val="en-AU"/>
        </w:rPr>
        <w:t>Early contractor involvement (whether construct only or design and construct)</w:t>
      </w:r>
    </w:p>
    <w:p w:rsidR="004B1A24" w:rsidRPr="009F5810" w:rsidRDefault="004B1A24" w:rsidP="004B1A24">
      <w:pPr>
        <w:pStyle w:val="Para0"/>
        <w:rPr>
          <w:rFonts w:ascii="Times New Roman" w:eastAsia="Arial" w:hAnsi="Times New Roman" w:cs="Times New Roman"/>
        </w:rPr>
      </w:pPr>
      <w:r w:rsidRPr="009F5810">
        <w:rPr>
          <w:rFonts w:ascii="Times New Roman" w:eastAsia="Arial" w:hAnsi="Times New Roman" w:cs="Times New Roman"/>
          <w:color w:val="auto"/>
          <w:lang w:val="en-AU"/>
        </w:rPr>
        <w:t>The early contractor involvement (</w:t>
      </w:r>
      <w:r w:rsidRPr="009F5810">
        <w:rPr>
          <w:rFonts w:ascii="Times New Roman" w:eastAsia="Arial" w:hAnsi="Times New Roman" w:cs="Times New Roman"/>
          <w:b/>
          <w:bCs/>
          <w:color w:val="auto"/>
          <w:lang w:val="en-AU"/>
        </w:rPr>
        <w:t>ECI</w:t>
      </w:r>
      <w:r w:rsidRPr="009F5810">
        <w:rPr>
          <w:rFonts w:ascii="Times New Roman" w:eastAsia="Arial" w:hAnsi="Times New Roman" w:cs="Times New Roman"/>
          <w:color w:val="auto"/>
          <w:lang w:val="en-AU"/>
        </w:rPr>
        <w:t xml:space="preserve">) model is used for the engagement of a design services consultant and one or more head contractors in the planning or design phase of a project. </w:t>
      </w:r>
    </w:p>
    <w:p w:rsidR="004B1A24" w:rsidRPr="009F5810" w:rsidRDefault="004B1A24" w:rsidP="004B1A24">
      <w:pPr>
        <w:pStyle w:val="Para0"/>
        <w:rPr>
          <w:rFonts w:ascii="Times New Roman" w:eastAsia="Arial" w:hAnsi="Times New Roman" w:cs="Times New Roman"/>
        </w:rPr>
      </w:pPr>
      <w:r w:rsidRPr="009F5810">
        <w:rPr>
          <w:rFonts w:ascii="Times New Roman" w:eastAsia="Arial" w:hAnsi="Times New Roman" w:cs="Times New Roman"/>
        </w:rPr>
        <w:t xml:space="preserve">Under this delivery model, the Commonwealth enters into separate contractual arrangements during the planning phase with the ECI contractors. Subcontractors and </w:t>
      </w:r>
      <w:proofErr w:type="spellStart"/>
      <w:r w:rsidRPr="009F5810">
        <w:rPr>
          <w:rFonts w:ascii="Times New Roman" w:eastAsia="Arial" w:hAnsi="Times New Roman" w:cs="Times New Roman"/>
        </w:rPr>
        <w:t>subconsultants</w:t>
      </w:r>
      <w:proofErr w:type="spellEnd"/>
      <w:r w:rsidRPr="009F5810">
        <w:rPr>
          <w:rFonts w:ascii="Times New Roman" w:eastAsia="Arial" w:hAnsi="Times New Roman" w:cs="Times New Roman"/>
        </w:rPr>
        <w:t xml:space="preserve"> may also be engaged to provide input into the preparation and </w:t>
      </w:r>
      <w:proofErr w:type="spellStart"/>
      <w:r w:rsidRPr="009F5810">
        <w:rPr>
          <w:rFonts w:ascii="Times New Roman" w:eastAsia="Arial" w:hAnsi="Times New Roman" w:cs="Times New Roman"/>
        </w:rPr>
        <w:t>finalisation</w:t>
      </w:r>
      <w:proofErr w:type="spellEnd"/>
      <w:r w:rsidRPr="009F5810">
        <w:rPr>
          <w:rFonts w:ascii="Times New Roman" w:eastAsia="Arial" w:hAnsi="Times New Roman" w:cs="Times New Roman"/>
        </w:rPr>
        <w:t xml:space="preserve"> of the design.</w:t>
      </w:r>
    </w:p>
    <w:p w:rsidR="004B1A24" w:rsidRPr="00253207" w:rsidRDefault="004B1A24" w:rsidP="004B1A24">
      <w:pPr>
        <w:pStyle w:val="Para0"/>
        <w:rPr>
          <w:rFonts w:ascii="Times New Roman" w:eastAsia="Arial" w:hAnsi="Times New Roman" w:cs="Times New Roman"/>
        </w:rPr>
      </w:pPr>
      <w:r w:rsidRPr="009F5810">
        <w:rPr>
          <w:rFonts w:ascii="Times New Roman" w:eastAsia="Arial" w:hAnsi="Times New Roman" w:cs="Times New Roman"/>
        </w:rPr>
        <w:t>The planning phase contract is the first of a 2 phase contract engagement on the project for the head contractor. The contractor may be engaged for the construction phase under a delivery phase lump sum contract. This is subject to the terms of the planning phase contract.</w:t>
      </w:r>
      <w:bookmarkStart w:id="1" w:name="_GoBack"/>
      <w:bookmarkEnd w:id="1"/>
    </w:p>
    <w:p w:rsidR="004B1A24" w:rsidRPr="00253207" w:rsidRDefault="004B1A24" w:rsidP="004B1A24">
      <w:pPr>
        <w:pStyle w:val="Para0"/>
        <w:keepNext/>
        <w:keepLines/>
        <w:rPr>
          <w:rFonts w:ascii="Times New Roman" w:eastAsia="Arial" w:hAnsi="Times New Roman" w:cs="Times New Roman"/>
          <w:i/>
          <w:iCs/>
          <w:color w:val="auto"/>
          <w:lang w:val="en-AU"/>
        </w:rPr>
      </w:pPr>
      <w:r w:rsidRPr="00253207">
        <w:rPr>
          <w:rFonts w:ascii="Times New Roman" w:eastAsia="Arial" w:hAnsi="Times New Roman" w:cs="Times New Roman"/>
          <w:i/>
          <w:iCs/>
          <w:color w:val="auto"/>
          <w:lang w:val="en-AU"/>
        </w:rPr>
        <w:lastRenderedPageBreak/>
        <w:t>Managing contractor (whether single or two phase)</w:t>
      </w:r>
    </w:p>
    <w:p w:rsidR="004B1A24" w:rsidRPr="00253207" w:rsidRDefault="004B1A24" w:rsidP="004B1A24">
      <w:pPr>
        <w:pStyle w:val="Para0"/>
        <w:rPr>
          <w:rFonts w:ascii="Times New Roman" w:eastAsia="Arial" w:hAnsi="Times New Roman" w:cs="Times New Roman"/>
        </w:rPr>
      </w:pPr>
      <w:r w:rsidRPr="00253207">
        <w:rPr>
          <w:rFonts w:ascii="Times New Roman" w:eastAsia="Arial" w:hAnsi="Times New Roman" w:cs="Times New Roman"/>
        </w:rPr>
        <w:t xml:space="preserve">The managing contractor model provides for the involvement of a contractor at an early stage of the project. </w:t>
      </w:r>
    </w:p>
    <w:p w:rsidR="004B1A24" w:rsidRPr="00253207" w:rsidRDefault="004B1A24" w:rsidP="004B1A24">
      <w:pPr>
        <w:pStyle w:val="Para0"/>
        <w:spacing w:after="240"/>
        <w:rPr>
          <w:rFonts w:ascii="Times New Roman" w:eastAsia="Arial" w:hAnsi="Times New Roman" w:cs="Times New Roman"/>
        </w:rPr>
      </w:pPr>
      <w:r w:rsidRPr="00253207">
        <w:rPr>
          <w:rFonts w:ascii="Times New Roman" w:eastAsia="Arial" w:hAnsi="Times New Roman" w:cs="Times New Roman"/>
        </w:rPr>
        <w:t>The contractor is primarily responsible for the planning, design and delivery of the project, including the engagement of approved subcontractors for major works, medium works and design services.</w:t>
      </w:r>
    </w:p>
    <w:p w:rsidR="004B1A24" w:rsidRPr="00253207" w:rsidRDefault="004B1A24" w:rsidP="004B1A24">
      <w:pPr>
        <w:pStyle w:val="Para0"/>
        <w:spacing w:after="240"/>
        <w:rPr>
          <w:rFonts w:ascii="Times New Roman" w:eastAsia="Arial" w:hAnsi="Times New Roman" w:cs="Times New Roman"/>
        </w:rPr>
      </w:pPr>
      <w:r w:rsidRPr="00253207">
        <w:rPr>
          <w:rFonts w:ascii="Times New Roman" w:eastAsia="Arial" w:hAnsi="Times New Roman" w:cs="Times New Roman"/>
        </w:rPr>
        <w:t>The contract price comprises both lump sum components and reimbursable costs. The contractor has an obligation to ensure the contract price does not exceed the target cost and to achieve completion of the works by the specified target dates.</w:t>
      </w:r>
    </w:p>
    <w:p w:rsidR="004B1A24" w:rsidRPr="00253207" w:rsidRDefault="004B1A24" w:rsidP="004B1A24">
      <w:pPr>
        <w:pStyle w:val="CUTable1"/>
        <w:tabs>
          <w:tab w:val="clear" w:pos="360"/>
        </w:tabs>
        <w:ind w:left="567" w:hanging="567"/>
        <w:rPr>
          <w:rFonts w:ascii="Times New Roman" w:hAnsi="Times New Roman"/>
          <w:b/>
          <w:bCs/>
          <w:szCs w:val="20"/>
        </w:rPr>
      </w:pPr>
      <w:r w:rsidRPr="00253207">
        <w:rPr>
          <w:rFonts w:ascii="Times New Roman" w:hAnsi="Times New Roman"/>
          <w:b/>
          <w:bCs/>
          <w:szCs w:val="20"/>
        </w:rPr>
        <w:t>Forms of Contract</w:t>
      </w:r>
    </w:p>
    <w:p w:rsidR="004B1A24" w:rsidRPr="00253207" w:rsidRDefault="004B1A24" w:rsidP="004B1A24">
      <w:pPr>
        <w:pStyle w:val="Para0"/>
        <w:rPr>
          <w:rFonts w:ascii="Times New Roman" w:eastAsia="Arial" w:hAnsi="Times New Roman" w:cs="Times New Roman"/>
          <w:color w:val="auto"/>
          <w:lang w:val="en-AU"/>
        </w:rPr>
      </w:pPr>
      <w:r w:rsidRPr="00253207">
        <w:rPr>
          <w:rFonts w:ascii="Times New Roman" w:eastAsia="Arial" w:hAnsi="Times New Roman" w:cs="Times New Roman"/>
          <w:color w:val="auto"/>
          <w:lang w:val="en-AU"/>
        </w:rPr>
        <w:t xml:space="preserve">Panel Contractors may be engaged under varying forms of contract as specified by the Department of Defence or an Other Commonwealth Agency (as applicable) for the purposes of an Engagement and having regard to the specific circumstances of that Engagement. </w:t>
      </w:r>
    </w:p>
    <w:p w:rsidR="004B1A24" w:rsidRPr="00253207" w:rsidRDefault="004B1A24" w:rsidP="004B1A24">
      <w:pPr>
        <w:pStyle w:val="Para0"/>
        <w:spacing w:after="240"/>
        <w:rPr>
          <w:rFonts w:ascii="Times New Roman" w:eastAsia="Arial" w:hAnsi="Times New Roman" w:cs="Times New Roman"/>
          <w:color w:val="auto"/>
          <w:lang w:val="en-AU"/>
        </w:rPr>
      </w:pPr>
      <w:r w:rsidRPr="00253207">
        <w:rPr>
          <w:rFonts w:ascii="Times New Roman" w:eastAsia="Arial" w:hAnsi="Times New Roman" w:cs="Times New Roman"/>
          <w:color w:val="auto"/>
          <w:lang w:val="en-AU"/>
        </w:rPr>
        <w:t xml:space="preserve">To the extent that the Department of Defence is the procuring agency: </w:t>
      </w:r>
    </w:p>
    <w:p w:rsidR="004B1A24" w:rsidRPr="00253207" w:rsidRDefault="004B1A24" w:rsidP="004B1A24">
      <w:pPr>
        <w:pStyle w:val="Para0"/>
        <w:numPr>
          <w:ilvl w:val="0"/>
          <w:numId w:val="3"/>
        </w:numPr>
        <w:ind w:left="709" w:hanging="709"/>
        <w:rPr>
          <w:rFonts w:ascii="Times New Roman" w:eastAsia="Arial" w:hAnsi="Times New Roman" w:cs="Times New Roman"/>
          <w:color w:val="auto"/>
          <w:lang w:val="en-AU"/>
        </w:rPr>
      </w:pPr>
      <w:r w:rsidRPr="00253207">
        <w:rPr>
          <w:rFonts w:ascii="Times New Roman" w:eastAsia="Arial" w:hAnsi="Times New Roman" w:cs="Times New Roman"/>
          <w:color w:val="auto"/>
          <w:lang w:val="en-AU"/>
        </w:rPr>
        <w:t xml:space="preserve">it is anticipated that the relevant Contract will be based upon the </w:t>
      </w:r>
      <w:r>
        <w:rPr>
          <w:rFonts w:ascii="Times New Roman" w:eastAsia="Arial" w:hAnsi="Times New Roman" w:cs="Times New Roman"/>
          <w:color w:val="auto"/>
          <w:lang w:val="en-AU"/>
        </w:rPr>
        <w:t xml:space="preserve">contract </w:t>
      </w:r>
      <w:r w:rsidRPr="00253207">
        <w:rPr>
          <w:rFonts w:ascii="Times New Roman" w:eastAsia="Arial" w:hAnsi="Times New Roman" w:cs="Times New Roman"/>
          <w:color w:val="auto"/>
          <w:lang w:val="en-AU"/>
        </w:rPr>
        <w:t xml:space="preserve">templates available on the Defence website including, but not limited to, the </w:t>
      </w:r>
      <w:r>
        <w:rPr>
          <w:rFonts w:ascii="Times New Roman" w:eastAsia="Arial" w:hAnsi="Times New Roman" w:cs="Times New Roman"/>
          <w:color w:val="auto"/>
          <w:lang w:val="en-AU"/>
        </w:rPr>
        <w:t>Defence Head Contract</w:t>
      </w:r>
      <w:r w:rsidRPr="00253207">
        <w:rPr>
          <w:rFonts w:ascii="Times New Roman" w:eastAsia="Arial" w:hAnsi="Times New Roman" w:cs="Times New Roman"/>
          <w:color w:val="auto"/>
          <w:lang w:val="en-AU"/>
        </w:rPr>
        <w:t xml:space="preserve"> (including construct only, design and construct and document and construct), the </w:t>
      </w:r>
      <w:r>
        <w:rPr>
          <w:rFonts w:ascii="Times New Roman" w:eastAsia="Arial" w:hAnsi="Times New Roman" w:cs="Times New Roman"/>
          <w:color w:val="auto"/>
          <w:lang w:val="en-AU"/>
        </w:rPr>
        <w:t xml:space="preserve">Defence </w:t>
      </w:r>
      <w:r w:rsidRPr="009F5810">
        <w:rPr>
          <w:rFonts w:ascii="Times New Roman" w:eastAsia="Arial" w:hAnsi="Times New Roman" w:cs="Times New Roman"/>
          <w:color w:val="auto"/>
          <w:lang w:val="en-AU"/>
        </w:rPr>
        <w:t>Early Contractor Involvement Head Contract – Two Contractor Planning Phase Approach</w:t>
      </w:r>
      <w:r w:rsidRPr="00253207">
        <w:rPr>
          <w:rFonts w:ascii="Times New Roman" w:eastAsia="Arial" w:hAnsi="Times New Roman" w:cs="Times New Roman"/>
          <w:color w:val="auto"/>
          <w:lang w:val="en-AU"/>
        </w:rPr>
        <w:t xml:space="preserve"> and the </w:t>
      </w:r>
      <w:r>
        <w:rPr>
          <w:rFonts w:ascii="Times New Roman" w:eastAsia="Arial" w:hAnsi="Times New Roman" w:cs="Times New Roman"/>
          <w:color w:val="auto"/>
          <w:lang w:val="en-AU"/>
        </w:rPr>
        <w:t>Defence Managing Contractor Contract</w:t>
      </w:r>
      <w:r w:rsidRPr="00253207">
        <w:rPr>
          <w:rFonts w:ascii="Times New Roman" w:eastAsia="Arial" w:hAnsi="Times New Roman" w:cs="Times New Roman"/>
          <w:color w:val="auto"/>
          <w:lang w:val="en-AU"/>
        </w:rPr>
        <w:t xml:space="preserve">; and </w:t>
      </w:r>
    </w:p>
    <w:p w:rsidR="004B1A24" w:rsidRPr="00253207" w:rsidRDefault="004B1A24" w:rsidP="004B1A24">
      <w:pPr>
        <w:pStyle w:val="Para0"/>
        <w:numPr>
          <w:ilvl w:val="0"/>
          <w:numId w:val="3"/>
        </w:numPr>
        <w:ind w:left="709" w:hanging="709"/>
        <w:rPr>
          <w:rFonts w:ascii="Times New Roman" w:eastAsia="Arial" w:hAnsi="Times New Roman" w:cs="Times New Roman"/>
          <w:color w:val="auto"/>
          <w:lang w:val="en-AU"/>
        </w:rPr>
      </w:pPr>
      <w:proofErr w:type="gramStart"/>
      <w:r w:rsidRPr="00253207">
        <w:rPr>
          <w:rFonts w:ascii="Times New Roman" w:eastAsia="Arial" w:hAnsi="Times New Roman" w:cs="Times New Roman"/>
          <w:color w:val="auto"/>
          <w:lang w:val="en-AU"/>
        </w:rPr>
        <w:t>the</w:t>
      </w:r>
      <w:proofErr w:type="gramEnd"/>
      <w:r w:rsidRPr="00253207">
        <w:rPr>
          <w:rFonts w:ascii="Times New Roman" w:eastAsia="Arial" w:hAnsi="Times New Roman" w:cs="Times New Roman"/>
          <w:color w:val="auto"/>
          <w:lang w:val="en-AU"/>
        </w:rPr>
        <w:t xml:space="preserve"> Department of Defence may, but is not required to, elect to engage an external service provider to act as project manager and also contract administrator.</w:t>
      </w:r>
    </w:p>
    <w:p w:rsidR="004B1A24" w:rsidRPr="00253207" w:rsidRDefault="004B1A24" w:rsidP="004B1A24">
      <w:pPr>
        <w:pStyle w:val="CUTable1"/>
        <w:tabs>
          <w:tab w:val="clear" w:pos="360"/>
        </w:tabs>
        <w:ind w:left="567" w:hanging="567"/>
        <w:rPr>
          <w:rFonts w:ascii="Times New Roman" w:hAnsi="Times New Roman"/>
          <w:b/>
          <w:bCs/>
          <w:szCs w:val="20"/>
        </w:rPr>
      </w:pPr>
      <w:bookmarkStart w:id="2" w:name="_Ref172559190"/>
      <w:r w:rsidRPr="00253207">
        <w:rPr>
          <w:rFonts w:ascii="Times New Roman" w:hAnsi="Times New Roman"/>
          <w:b/>
          <w:bCs/>
          <w:szCs w:val="20"/>
        </w:rPr>
        <w:t>Minimum Requirements</w:t>
      </w:r>
      <w:bookmarkEnd w:id="2"/>
    </w:p>
    <w:p w:rsidR="004B1A24" w:rsidRPr="00253207" w:rsidRDefault="004B1A24" w:rsidP="004B1A24">
      <w:pPr>
        <w:pStyle w:val="Para0"/>
        <w:rPr>
          <w:rFonts w:ascii="Times New Roman" w:eastAsia="Arial" w:hAnsi="Times New Roman" w:cs="Times New Roman"/>
          <w:color w:val="auto"/>
          <w:lang w:val="en-AU"/>
        </w:rPr>
      </w:pPr>
      <w:r w:rsidRPr="00253207">
        <w:rPr>
          <w:rFonts w:ascii="Times New Roman" w:eastAsia="Arial" w:hAnsi="Times New Roman" w:cs="Times New Roman"/>
          <w:color w:val="auto"/>
          <w:lang w:val="en-AU"/>
        </w:rPr>
        <w:t>The specific requirements for the Works will be set out in the relevant Contract. However, it is anticipated that as a minimum the relevant Contract will require compliance with:</w:t>
      </w:r>
    </w:p>
    <w:p w:rsidR="004B1A24" w:rsidRPr="00253207" w:rsidRDefault="004B1A24" w:rsidP="004B1A24">
      <w:pPr>
        <w:pStyle w:val="Para0"/>
        <w:numPr>
          <w:ilvl w:val="0"/>
          <w:numId w:val="4"/>
        </w:numPr>
        <w:ind w:left="709" w:hanging="709"/>
        <w:rPr>
          <w:rFonts w:ascii="Times New Roman" w:eastAsia="Arial" w:hAnsi="Times New Roman" w:cs="Times New Roman"/>
          <w:color w:val="auto"/>
          <w:lang w:val="en-AU"/>
        </w:rPr>
      </w:pPr>
      <w:bookmarkStart w:id="3" w:name="_Ref167695093"/>
      <w:r w:rsidRPr="00253207">
        <w:rPr>
          <w:rFonts w:ascii="Times New Roman" w:eastAsia="Arial" w:hAnsi="Times New Roman" w:cs="Times New Roman"/>
          <w:color w:val="auto"/>
          <w:lang w:val="en-AU"/>
        </w:rPr>
        <w:t>applicable Government policy (including any reporting requirements) including the Defence Policy for Industry Participation (in the case of the Department of Defence), the Australian Industry Participation policy, the Indigenous Procurement Policy, the WHS Accreditation Scheme, the Shadow Economy Procurement Connected Policy, the Workplace Gender Equality Procurement Principles, the Payment Times Procurement Connected Policy, the Commonwealth Supplier Code of Conduct, the Environmentally Sustainable Procurement Policy and the Australian Skills Guarantee Procurement Connected Policy;</w:t>
      </w:r>
      <w:bookmarkEnd w:id="3"/>
      <w:r w:rsidRPr="00253207">
        <w:rPr>
          <w:rFonts w:ascii="Times New Roman" w:eastAsia="Arial" w:hAnsi="Times New Roman" w:cs="Times New Roman"/>
          <w:color w:val="auto"/>
          <w:lang w:val="en-AU"/>
        </w:rPr>
        <w:t xml:space="preserve"> </w:t>
      </w:r>
    </w:p>
    <w:p w:rsidR="004B1A24" w:rsidRPr="00253207" w:rsidRDefault="004B1A24" w:rsidP="004B1A24">
      <w:pPr>
        <w:pStyle w:val="Para0"/>
        <w:numPr>
          <w:ilvl w:val="0"/>
          <w:numId w:val="4"/>
        </w:numPr>
        <w:ind w:left="709" w:hanging="709"/>
        <w:rPr>
          <w:rFonts w:ascii="Times New Roman" w:eastAsia="Arial" w:hAnsi="Times New Roman" w:cs="Times New Roman"/>
          <w:color w:val="auto"/>
          <w:lang w:val="en-AU"/>
        </w:rPr>
      </w:pPr>
      <w:r w:rsidRPr="00253207">
        <w:rPr>
          <w:rFonts w:ascii="Times New Roman" w:eastAsia="Arial" w:hAnsi="Times New Roman" w:cs="Times New Roman"/>
          <w:color w:val="auto"/>
          <w:lang w:val="en-AU"/>
        </w:rPr>
        <w:t xml:space="preserve">applicable Statutory Requirements; </w:t>
      </w:r>
    </w:p>
    <w:p w:rsidR="004B1A24" w:rsidRPr="00253207" w:rsidRDefault="004B1A24" w:rsidP="004B1A24">
      <w:pPr>
        <w:pStyle w:val="Para0"/>
        <w:numPr>
          <w:ilvl w:val="0"/>
          <w:numId w:val="4"/>
        </w:numPr>
        <w:ind w:left="709" w:hanging="709"/>
        <w:rPr>
          <w:rFonts w:ascii="Times New Roman" w:eastAsia="Arial" w:hAnsi="Times New Roman" w:cs="Times New Roman"/>
          <w:color w:val="auto"/>
          <w:lang w:val="en-AU"/>
        </w:rPr>
      </w:pPr>
      <w:r w:rsidRPr="00253207">
        <w:rPr>
          <w:rFonts w:ascii="Times New Roman" w:eastAsia="Arial" w:hAnsi="Times New Roman" w:cs="Times New Roman"/>
          <w:color w:val="auto"/>
          <w:lang w:val="en-AU"/>
        </w:rPr>
        <w:t xml:space="preserve">applicable technical standards and requirements including Australian Standards, the Building Code of Australia and the National Construction Code; </w:t>
      </w:r>
    </w:p>
    <w:p w:rsidR="004B1A24" w:rsidRPr="00253207" w:rsidRDefault="004B1A24" w:rsidP="004B1A24">
      <w:pPr>
        <w:pStyle w:val="Para0"/>
        <w:numPr>
          <w:ilvl w:val="0"/>
          <w:numId w:val="4"/>
        </w:numPr>
        <w:ind w:left="709" w:hanging="709"/>
        <w:rPr>
          <w:rFonts w:ascii="Times New Roman" w:eastAsia="Arial" w:hAnsi="Times New Roman" w:cs="Times New Roman"/>
          <w:color w:val="auto"/>
          <w:lang w:val="en-AU"/>
        </w:rPr>
      </w:pPr>
      <w:r w:rsidRPr="00253207">
        <w:rPr>
          <w:rFonts w:ascii="Times New Roman" w:eastAsia="Arial" w:hAnsi="Times New Roman" w:cs="Times New Roman"/>
          <w:color w:val="auto"/>
          <w:lang w:val="en-AU"/>
        </w:rPr>
        <w:t xml:space="preserve">minimum standards relating to quality, including in respect of the integration of the quality assurance systems and processes implemented for an Engagement by the </w:t>
      </w:r>
      <w:r>
        <w:rPr>
          <w:rFonts w:ascii="Times New Roman" w:eastAsia="Arial" w:hAnsi="Times New Roman" w:cs="Times New Roman"/>
          <w:color w:val="auto"/>
          <w:lang w:val="en-AU"/>
        </w:rPr>
        <w:t xml:space="preserve">Panel </w:t>
      </w:r>
      <w:r w:rsidRPr="00253207">
        <w:rPr>
          <w:rFonts w:ascii="Times New Roman" w:eastAsia="Arial" w:hAnsi="Times New Roman" w:cs="Times New Roman"/>
          <w:color w:val="auto"/>
          <w:lang w:val="en-AU"/>
        </w:rPr>
        <w:t xml:space="preserve">Contractor with that established by the </w:t>
      </w:r>
      <w:r>
        <w:rPr>
          <w:rFonts w:ascii="Times New Roman" w:eastAsia="Arial" w:hAnsi="Times New Roman" w:cs="Times New Roman"/>
          <w:color w:val="auto"/>
          <w:lang w:val="en-AU"/>
        </w:rPr>
        <w:t xml:space="preserve">Panel </w:t>
      </w:r>
      <w:r w:rsidRPr="00253207">
        <w:rPr>
          <w:rFonts w:ascii="Times New Roman" w:eastAsia="Arial" w:hAnsi="Times New Roman" w:cs="Times New Roman"/>
          <w:color w:val="auto"/>
          <w:lang w:val="en-AU"/>
        </w:rPr>
        <w:t>Contractor under the Panel Agreement;</w:t>
      </w:r>
    </w:p>
    <w:p w:rsidR="004B1A24" w:rsidRPr="00253207" w:rsidRDefault="004B1A24" w:rsidP="004B1A24">
      <w:pPr>
        <w:pStyle w:val="Para0"/>
        <w:numPr>
          <w:ilvl w:val="0"/>
          <w:numId w:val="4"/>
        </w:numPr>
        <w:ind w:left="709" w:hanging="709"/>
        <w:rPr>
          <w:rFonts w:ascii="Times New Roman" w:eastAsia="Arial" w:hAnsi="Times New Roman" w:cs="Times New Roman"/>
          <w:color w:val="auto"/>
          <w:lang w:val="en-AU"/>
        </w:rPr>
      </w:pPr>
      <w:r w:rsidRPr="00253207">
        <w:rPr>
          <w:rFonts w:ascii="Times New Roman" w:eastAsia="Arial" w:hAnsi="Times New Roman" w:cs="Times New Roman"/>
          <w:color w:val="auto"/>
          <w:lang w:val="en-AU"/>
        </w:rPr>
        <w:t>requirements in relation to information security, including (where the Department of Defence is the procuring agency) in respect of the Defence Industry Security Program;</w:t>
      </w:r>
    </w:p>
    <w:p w:rsidR="004B1A24" w:rsidRPr="00253207" w:rsidRDefault="004B1A24" w:rsidP="004B1A24">
      <w:pPr>
        <w:pStyle w:val="Para0"/>
        <w:numPr>
          <w:ilvl w:val="0"/>
          <w:numId w:val="4"/>
        </w:numPr>
        <w:ind w:left="709" w:hanging="709"/>
        <w:rPr>
          <w:rFonts w:ascii="Times New Roman" w:eastAsia="Arial" w:hAnsi="Times New Roman" w:cs="Times New Roman"/>
          <w:color w:val="auto"/>
          <w:lang w:val="en-AU"/>
        </w:rPr>
      </w:pPr>
      <w:r w:rsidRPr="00253207">
        <w:rPr>
          <w:rFonts w:ascii="Times New Roman" w:eastAsia="Arial" w:hAnsi="Times New Roman" w:cs="Times New Roman"/>
          <w:color w:val="auto"/>
          <w:lang w:val="en-AU"/>
        </w:rPr>
        <w:t>requirements in relation to insurances; and</w:t>
      </w:r>
    </w:p>
    <w:p w:rsidR="004B1A24" w:rsidRPr="00253207" w:rsidRDefault="004B1A24" w:rsidP="004B1A24">
      <w:pPr>
        <w:pStyle w:val="Para0"/>
        <w:numPr>
          <w:ilvl w:val="0"/>
          <w:numId w:val="4"/>
        </w:numPr>
        <w:spacing w:after="240"/>
        <w:ind w:left="709" w:hanging="709"/>
        <w:rPr>
          <w:rFonts w:ascii="Times New Roman" w:eastAsia="Arial" w:hAnsi="Times New Roman" w:cs="Times New Roman"/>
          <w:color w:val="auto"/>
          <w:lang w:val="en-AU"/>
        </w:rPr>
      </w:pPr>
      <w:proofErr w:type="gramStart"/>
      <w:r w:rsidRPr="00253207">
        <w:rPr>
          <w:rFonts w:ascii="Times New Roman" w:eastAsia="Arial" w:hAnsi="Times New Roman" w:cs="Times New Roman"/>
          <w:color w:val="auto"/>
          <w:lang w:val="en-AU"/>
        </w:rPr>
        <w:t>requirements</w:t>
      </w:r>
      <w:proofErr w:type="gramEnd"/>
      <w:r w:rsidRPr="00253207">
        <w:rPr>
          <w:rFonts w:ascii="Times New Roman" w:eastAsia="Arial" w:hAnsi="Times New Roman" w:cs="Times New Roman"/>
          <w:color w:val="auto"/>
          <w:lang w:val="en-AU"/>
        </w:rPr>
        <w:t xml:space="preserve"> in relation to the provision of security. </w:t>
      </w:r>
    </w:p>
    <w:p w:rsidR="004B1A24" w:rsidRPr="00253207" w:rsidRDefault="004B1A24" w:rsidP="004B1A24">
      <w:pPr>
        <w:pStyle w:val="Para0"/>
        <w:spacing w:after="240"/>
        <w:rPr>
          <w:rFonts w:ascii="Times New Roman" w:eastAsia="Arial" w:hAnsi="Times New Roman" w:cs="Times New Roman"/>
          <w:color w:val="auto"/>
          <w:lang w:val="en-AU"/>
        </w:rPr>
      </w:pPr>
      <w:r w:rsidRPr="00253207">
        <w:rPr>
          <w:rFonts w:ascii="Times New Roman" w:eastAsia="Arial" w:hAnsi="Times New Roman" w:cs="Times New Roman"/>
          <w:color w:val="auto"/>
          <w:lang w:val="en-AU"/>
        </w:rPr>
        <w:lastRenderedPageBreak/>
        <w:t xml:space="preserve">The </w:t>
      </w:r>
      <w:r>
        <w:rPr>
          <w:rFonts w:ascii="Times New Roman" w:eastAsia="Arial" w:hAnsi="Times New Roman" w:cs="Times New Roman"/>
          <w:color w:val="auto"/>
          <w:lang w:val="en-AU"/>
        </w:rPr>
        <w:t xml:space="preserve">Panel </w:t>
      </w:r>
      <w:r w:rsidRPr="00253207">
        <w:rPr>
          <w:rFonts w:ascii="Times New Roman" w:eastAsia="Arial" w:hAnsi="Times New Roman" w:cs="Times New Roman"/>
          <w:color w:val="auto"/>
          <w:lang w:val="en-AU"/>
        </w:rPr>
        <w:t xml:space="preserve">Contractor will be expected to maintain an ability to readily source expert subcontractors, including in the specific areas noted in clause </w:t>
      </w:r>
      <w:r w:rsidRPr="00253207">
        <w:rPr>
          <w:rFonts w:ascii="Times New Roman" w:eastAsia="Arial" w:hAnsi="Times New Roman" w:cs="Times New Roman"/>
          <w:color w:val="auto"/>
          <w:lang w:val="en-AU"/>
        </w:rPr>
        <w:fldChar w:fldCharType="begin"/>
      </w:r>
      <w:r w:rsidRPr="00253207">
        <w:rPr>
          <w:rFonts w:ascii="Times New Roman" w:eastAsia="Arial" w:hAnsi="Times New Roman" w:cs="Times New Roman"/>
          <w:color w:val="auto"/>
          <w:lang w:val="en-AU"/>
        </w:rPr>
        <w:instrText xml:space="preserve"> REF _Ref167707377 \r \h  \* MERGEFORMAT </w:instrText>
      </w:r>
      <w:r w:rsidRPr="00253207">
        <w:rPr>
          <w:rFonts w:ascii="Times New Roman" w:eastAsia="Arial" w:hAnsi="Times New Roman" w:cs="Times New Roman"/>
          <w:color w:val="auto"/>
          <w:lang w:val="en-AU"/>
        </w:rPr>
      </w:r>
      <w:r w:rsidRPr="00253207">
        <w:rPr>
          <w:rFonts w:ascii="Times New Roman" w:eastAsia="Arial" w:hAnsi="Times New Roman" w:cs="Times New Roman"/>
          <w:color w:val="auto"/>
          <w:lang w:val="en-AU"/>
        </w:rPr>
        <w:fldChar w:fldCharType="separate"/>
      </w:r>
      <w:r>
        <w:rPr>
          <w:rFonts w:ascii="Times New Roman" w:eastAsia="Arial" w:hAnsi="Times New Roman" w:cs="Times New Roman"/>
          <w:color w:val="auto"/>
          <w:lang w:val="en-AU"/>
        </w:rPr>
        <w:t>1</w:t>
      </w:r>
      <w:r w:rsidRPr="00253207">
        <w:rPr>
          <w:rFonts w:ascii="Times New Roman" w:eastAsia="Arial" w:hAnsi="Times New Roman" w:cs="Times New Roman"/>
          <w:color w:val="auto"/>
          <w:lang w:val="en-AU"/>
        </w:rPr>
        <w:fldChar w:fldCharType="end"/>
      </w:r>
      <w:r w:rsidRPr="00253207">
        <w:rPr>
          <w:rFonts w:ascii="Times New Roman" w:eastAsia="Arial" w:hAnsi="Times New Roman" w:cs="Times New Roman"/>
          <w:color w:val="auto"/>
          <w:lang w:val="en-AU"/>
        </w:rPr>
        <w:t xml:space="preserve"> above.</w:t>
      </w:r>
    </w:p>
    <w:p w:rsidR="004B1A24" w:rsidRPr="00253207" w:rsidRDefault="004B1A24" w:rsidP="004B1A24">
      <w:pPr>
        <w:pStyle w:val="Para0"/>
        <w:spacing w:after="240"/>
        <w:rPr>
          <w:rFonts w:ascii="Times New Roman" w:eastAsia="Arial" w:hAnsi="Times New Roman" w:cs="Times New Roman"/>
          <w:color w:val="auto"/>
          <w:lang w:val="en-AU"/>
        </w:rPr>
      </w:pPr>
      <w:r w:rsidRPr="00253207">
        <w:rPr>
          <w:rFonts w:ascii="Times New Roman" w:eastAsia="Arial" w:hAnsi="Times New Roman" w:cs="Times New Roman"/>
          <w:color w:val="auto"/>
          <w:lang w:val="en-AU"/>
        </w:rPr>
        <w:t xml:space="preserve">Further information relating to the Indigenous Procurement Policy, the Defence Policy for Industry Participation (in the case of the Department of Defence), the Environmentally Sustainable Procurement Policy and the Australian Skills Guarantee Procurement Connected Policy is set out in clauses </w:t>
      </w:r>
      <w:r w:rsidRPr="00253207">
        <w:rPr>
          <w:rFonts w:ascii="Times New Roman" w:eastAsia="Arial" w:hAnsi="Times New Roman" w:cs="Times New Roman"/>
          <w:color w:val="auto"/>
          <w:lang w:val="en-AU"/>
        </w:rPr>
        <w:fldChar w:fldCharType="begin"/>
      </w:r>
      <w:r w:rsidRPr="00253207">
        <w:rPr>
          <w:rFonts w:ascii="Times New Roman" w:eastAsia="Arial" w:hAnsi="Times New Roman" w:cs="Times New Roman"/>
          <w:color w:val="auto"/>
          <w:lang w:val="en-AU"/>
        </w:rPr>
        <w:instrText xml:space="preserve"> REF _Ref173144408 \w \h  \* MERGEFORMAT </w:instrText>
      </w:r>
      <w:r w:rsidRPr="00253207">
        <w:rPr>
          <w:rFonts w:ascii="Times New Roman" w:eastAsia="Arial" w:hAnsi="Times New Roman" w:cs="Times New Roman"/>
          <w:color w:val="auto"/>
          <w:lang w:val="en-AU"/>
        </w:rPr>
      </w:r>
      <w:r w:rsidRPr="00253207">
        <w:rPr>
          <w:rFonts w:ascii="Times New Roman" w:eastAsia="Arial" w:hAnsi="Times New Roman" w:cs="Times New Roman"/>
          <w:color w:val="auto"/>
          <w:lang w:val="en-AU"/>
        </w:rPr>
        <w:fldChar w:fldCharType="separate"/>
      </w:r>
      <w:r w:rsidRPr="00253207">
        <w:rPr>
          <w:rFonts w:ascii="Times New Roman" w:eastAsia="Arial" w:hAnsi="Times New Roman" w:cs="Times New Roman"/>
          <w:color w:val="auto"/>
          <w:lang w:val="en-AU"/>
        </w:rPr>
        <w:t>5</w:t>
      </w:r>
      <w:r w:rsidRPr="00253207">
        <w:rPr>
          <w:rFonts w:ascii="Times New Roman" w:eastAsia="Arial" w:hAnsi="Times New Roman" w:cs="Times New Roman"/>
          <w:color w:val="auto"/>
          <w:lang w:val="en-AU"/>
        </w:rPr>
        <w:fldChar w:fldCharType="end"/>
      </w:r>
      <w:r w:rsidRPr="00253207">
        <w:rPr>
          <w:rFonts w:ascii="Times New Roman" w:eastAsia="Arial" w:hAnsi="Times New Roman" w:cs="Times New Roman"/>
          <w:color w:val="auto"/>
          <w:lang w:val="en-AU"/>
        </w:rPr>
        <w:t xml:space="preserve"> to </w:t>
      </w:r>
      <w:r w:rsidRPr="00253207">
        <w:rPr>
          <w:rFonts w:ascii="Times New Roman" w:eastAsia="Arial" w:hAnsi="Times New Roman" w:cs="Times New Roman"/>
          <w:color w:val="auto"/>
          <w:lang w:val="en-AU"/>
        </w:rPr>
        <w:fldChar w:fldCharType="begin"/>
      </w:r>
      <w:r w:rsidRPr="00253207">
        <w:rPr>
          <w:rFonts w:ascii="Times New Roman" w:eastAsia="Arial" w:hAnsi="Times New Roman" w:cs="Times New Roman"/>
          <w:color w:val="auto"/>
          <w:lang w:val="en-AU"/>
        </w:rPr>
        <w:instrText xml:space="preserve"> REF _Ref173144415 \w \h  \* MERGEFORMAT </w:instrText>
      </w:r>
      <w:r w:rsidRPr="00253207">
        <w:rPr>
          <w:rFonts w:ascii="Times New Roman" w:eastAsia="Arial" w:hAnsi="Times New Roman" w:cs="Times New Roman"/>
          <w:color w:val="auto"/>
          <w:lang w:val="en-AU"/>
        </w:rPr>
      </w:r>
      <w:r w:rsidRPr="00253207">
        <w:rPr>
          <w:rFonts w:ascii="Times New Roman" w:eastAsia="Arial" w:hAnsi="Times New Roman" w:cs="Times New Roman"/>
          <w:color w:val="auto"/>
          <w:lang w:val="en-AU"/>
        </w:rPr>
        <w:fldChar w:fldCharType="separate"/>
      </w:r>
      <w:r w:rsidRPr="00253207">
        <w:rPr>
          <w:rFonts w:ascii="Times New Roman" w:eastAsia="Arial" w:hAnsi="Times New Roman" w:cs="Times New Roman"/>
          <w:color w:val="auto"/>
          <w:lang w:val="en-AU"/>
        </w:rPr>
        <w:t>8</w:t>
      </w:r>
      <w:r w:rsidRPr="00253207">
        <w:rPr>
          <w:rFonts w:ascii="Times New Roman" w:eastAsia="Arial" w:hAnsi="Times New Roman" w:cs="Times New Roman"/>
          <w:color w:val="auto"/>
          <w:lang w:val="en-AU"/>
        </w:rPr>
        <w:fldChar w:fldCharType="end"/>
      </w:r>
      <w:r w:rsidRPr="00253207">
        <w:rPr>
          <w:rFonts w:ascii="Times New Roman" w:eastAsia="Arial" w:hAnsi="Times New Roman" w:cs="Times New Roman"/>
          <w:color w:val="auto"/>
          <w:lang w:val="en-AU"/>
        </w:rPr>
        <w:t xml:space="preserve"> below respectively. </w:t>
      </w:r>
    </w:p>
    <w:p w:rsidR="004B1A24" w:rsidRPr="00253207" w:rsidRDefault="004B1A24" w:rsidP="004B1A24">
      <w:pPr>
        <w:pStyle w:val="CUTable1"/>
        <w:tabs>
          <w:tab w:val="clear" w:pos="360"/>
        </w:tabs>
        <w:ind w:left="567" w:hanging="567"/>
        <w:rPr>
          <w:rFonts w:ascii="Times New Roman" w:eastAsia="Arial" w:hAnsi="Times New Roman"/>
          <w:b/>
          <w:bCs/>
          <w:szCs w:val="20"/>
        </w:rPr>
      </w:pPr>
      <w:bookmarkStart w:id="4" w:name="_Ref173144408"/>
      <w:r w:rsidRPr="00253207">
        <w:rPr>
          <w:rFonts w:ascii="Times New Roman" w:eastAsia="Arial" w:hAnsi="Times New Roman"/>
          <w:b/>
          <w:bCs/>
          <w:szCs w:val="20"/>
        </w:rPr>
        <w:t>Indigenous Procurement Policy</w:t>
      </w:r>
      <w:bookmarkEnd w:id="4"/>
      <w:r w:rsidRPr="00253207">
        <w:rPr>
          <w:rFonts w:ascii="Times New Roman" w:eastAsia="Arial" w:hAnsi="Times New Roman"/>
          <w:b/>
          <w:bCs/>
          <w:szCs w:val="20"/>
        </w:rPr>
        <w:t xml:space="preserve"> </w:t>
      </w:r>
    </w:p>
    <w:p w:rsidR="004B1A24" w:rsidRPr="00253207" w:rsidRDefault="004B1A24" w:rsidP="004B1A24">
      <w:pPr>
        <w:pStyle w:val="Para0"/>
        <w:spacing w:after="240"/>
        <w:rPr>
          <w:rFonts w:ascii="Times New Roman" w:eastAsia="Arial" w:hAnsi="Times New Roman" w:cs="Times New Roman"/>
          <w:bCs/>
        </w:rPr>
      </w:pPr>
      <w:r w:rsidRPr="00253207">
        <w:rPr>
          <w:rFonts w:ascii="Times New Roman" w:eastAsia="Arial" w:hAnsi="Times New Roman" w:cs="Times New Roman"/>
          <w:color w:val="auto"/>
          <w:lang w:val="en-AU"/>
        </w:rPr>
        <w:t xml:space="preserve">Further to clause </w:t>
      </w:r>
      <w:r w:rsidRPr="00253207">
        <w:rPr>
          <w:rFonts w:ascii="Times New Roman" w:eastAsia="Arial" w:hAnsi="Times New Roman" w:cs="Times New Roman"/>
          <w:color w:val="auto"/>
          <w:lang w:val="en-AU"/>
        </w:rPr>
        <w:fldChar w:fldCharType="begin"/>
      </w:r>
      <w:r w:rsidRPr="00253207">
        <w:rPr>
          <w:rFonts w:ascii="Times New Roman" w:eastAsia="Arial" w:hAnsi="Times New Roman" w:cs="Times New Roman"/>
          <w:color w:val="auto"/>
          <w:lang w:val="en-AU"/>
        </w:rPr>
        <w:instrText xml:space="preserve"> REF _Ref172559190 \w \h  \* MERGEFORMAT </w:instrText>
      </w:r>
      <w:r w:rsidRPr="00253207">
        <w:rPr>
          <w:rFonts w:ascii="Times New Roman" w:eastAsia="Arial" w:hAnsi="Times New Roman" w:cs="Times New Roman"/>
          <w:color w:val="auto"/>
          <w:lang w:val="en-AU"/>
        </w:rPr>
      </w:r>
      <w:r w:rsidRPr="00253207">
        <w:rPr>
          <w:rFonts w:ascii="Times New Roman" w:eastAsia="Arial" w:hAnsi="Times New Roman" w:cs="Times New Roman"/>
          <w:color w:val="auto"/>
          <w:lang w:val="en-AU"/>
        </w:rPr>
        <w:fldChar w:fldCharType="separate"/>
      </w:r>
      <w:r w:rsidRPr="00253207">
        <w:rPr>
          <w:rFonts w:ascii="Times New Roman" w:eastAsia="Arial" w:hAnsi="Times New Roman" w:cs="Times New Roman"/>
          <w:color w:val="auto"/>
          <w:lang w:val="en-AU"/>
        </w:rPr>
        <w:t>4</w:t>
      </w:r>
      <w:r w:rsidRPr="00253207">
        <w:rPr>
          <w:rFonts w:ascii="Times New Roman" w:eastAsia="Arial" w:hAnsi="Times New Roman" w:cs="Times New Roman"/>
          <w:color w:val="auto"/>
          <w:lang w:val="en-AU"/>
        </w:rPr>
        <w:fldChar w:fldCharType="end"/>
      </w:r>
      <w:r w:rsidRPr="00253207">
        <w:rPr>
          <w:rFonts w:ascii="Times New Roman" w:eastAsia="Arial" w:hAnsi="Times New Roman" w:cs="Times New Roman"/>
          <w:color w:val="auto"/>
          <w:lang w:val="en-AU"/>
        </w:rPr>
        <w:fldChar w:fldCharType="begin"/>
      </w:r>
      <w:r w:rsidRPr="00253207">
        <w:rPr>
          <w:rFonts w:ascii="Times New Roman" w:eastAsia="Arial" w:hAnsi="Times New Roman" w:cs="Times New Roman"/>
          <w:color w:val="auto"/>
          <w:lang w:val="en-AU"/>
        </w:rPr>
        <w:instrText xml:space="preserve"> REF _Ref167695093 \w \h  \* MERGEFORMAT </w:instrText>
      </w:r>
      <w:r w:rsidRPr="00253207">
        <w:rPr>
          <w:rFonts w:ascii="Times New Roman" w:eastAsia="Arial" w:hAnsi="Times New Roman" w:cs="Times New Roman"/>
          <w:color w:val="auto"/>
          <w:lang w:val="en-AU"/>
        </w:rPr>
      </w:r>
      <w:r w:rsidRPr="00253207">
        <w:rPr>
          <w:rFonts w:ascii="Times New Roman" w:eastAsia="Arial" w:hAnsi="Times New Roman" w:cs="Times New Roman"/>
          <w:color w:val="auto"/>
          <w:lang w:val="en-AU"/>
        </w:rPr>
        <w:fldChar w:fldCharType="separate"/>
      </w:r>
      <w:r w:rsidRPr="00253207">
        <w:rPr>
          <w:rFonts w:ascii="Times New Roman" w:eastAsia="Arial" w:hAnsi="Times New Roman" w:cs="Times New Roman"/>
          <w:color w:val="auto"/>
          <w:lang w:val="en-AU"/>
        </w:rPr>
        <w:t>(a)</w:t>
      </w:r>
      <w:r w:rsidRPr="00253207">
        <w:rPr>
          <w:rFonts w:ascii="Times New Roman" w:eastAsia="Arial" w:hAnsi="Times New Roman" w:cs="Times New Roman"/>
          <w:color w:val="auto"/>
          <w:lang w:val="en-AU"/>
        </w:rPr>
        <w:fldChar w:fldCharType="end"/>
      </w:r>
      <w:r w:rsidRPr="00253207">
        <w:rPr>
          <w:rFonts w:ascii="Times New Roman" w:eastAsia="Arial" w:hAnsi="Times New Roman" w:cs="Times New Roman"/>
          <w:color w:val="auto"/>
          <w:lang w:val="en-AU"/>
        </w:rPr>
        <w:t xml:space="preserve"> above, the Indigenous </w:t>
      </w:r>
      <w:r w:rsidRPr="00253207">
        <w:rPr>
          <w:rFonts w:ascii="Times New Roman" w:eastAsia="Arial" w:hAnsi="Times New Roman" w:cs="Times New Roman"/>
          <w:bCs/>
        </w:rPr>
        <w:t xml:space="preserve">Procurement Policy (available at </w:t>
      </w:r>
      <w:r w:rsidRPr="00253207">
        <w:rPr>
          <w:rFonts w:ascii="Times New Roman" w:eastAsia="Arial" w:hAnsi="Times New Roman" w:cs="Times New Roman"/>
        </w:rPr>
        <w:t xml:space="preserve">https://www.niaa.gov.au/indigenous-affairs/economic-development/indigenous-procurement-policy-ipp) </w:t>
      </w:r>
      <w:r w:rsidRPr="00253207">
        <w:rPr>
          <w:rFonts w:ascii="Times New Roman" w:eastAsia="Arial" w:hAnsi="Times New Roman" w:cs="Times New Roman"/>
          <w:bCs/>
        </w:rPr>
        <w:t xml:space="preserve">seeks to stimulate Indigenous entrepreneurship and business development and provide Indigenous Australians with more opportunities to participate in the economy.  More information on Indigenous Enterprises (as defined in the Indigenous Procurement Policy) is available at www.supplynation.org.au and in the Indigenous Procurement Policy.  </w:t>
      </w:r>
      <w:bookmarkStart w:id="5" w:name="_Toc167174876"/>
      <w:bookmarkStart w:id="6" w:name="_Toc167442633"/>
      <w:bookmarkEnd w:id="5"/>
      <w:bookmarkEnd w:id="6"/>
    </w:p>
    <w:p w:rsidR="004B1A24" w:rsidRPr="00253207" w:rsidRDefault="004B1A24" w:rsidP="004B1A24">
      <w:pPr>
        <w:pStyle w:val="CUTable1"/>
        <w:tabs>
          <w:tab w:val="clear" w:pos="360"/>
        </w:tabs>
        <w:ind w:left="567" w:hanging="567"/>
        <w:rPr>
          <w:rFonts w:ascii="Times New Roman" w:hAnsi="Times New Roman"/>
          <w:b/>
          <w:bCs/>
          <w:szCs w:val="20"/>
        </w:rPr>
      </w:pPr>
      <w:bookmarkStart w:id="7" w:name="_Toc167174877"/>
      <w:bookmarkStart w:id="8" w:name="_Toc167442634"/>
      <w:bookmarkStart w:id="9" w:name="_Toc167174878"/>
      <w:bookmarkStart w:id="10" w:name="_Toc167442635"/>
      <w:bookmarkEnd w:id="7"/>
      <w:bookmarkEnd w:id="8"/>
      <w:bookmarkEnd w:id="9"/>
      <w:bookmarkEnd w:id="10"/>
      <w:r w:rsidRPr="00253207">
        <w:rPr>
          <w:rFonts w:ascii="Times New Roman" w:hAnsi="Times New Roman"/>
          <w:b/>
          <w:bCs/>
          <w:szCs w:val="20"/>
        </w:rPr>
        <w:t xml:space="preserve">Defence Policy for </w:t>
      </w:r>
      <w:r>
        <w:rPr>
          <w:rFonts w:ascii="Times New Roman" w:hAnsi="Times New Roman"/>
          <w:b/>
          <w:bCs/>
          <w:szCs w:val="20"/>
        </w:rPr>
        <w:t xml:space="preserve">Industry </w:t>
      </w:r>
      <w:r w:rsidRPr="00253207">
        <w:rPr>
          <w:rFonts w:ascii="Times New Roman" w:hAnsi="Times New Roman"/>
          <w:b/>
          <w:bCs/>
          <w:szCs w:val="20"/>
        </w:rPr>
        <w:t>Participation</w:t>
      </w:r>
    </w:p>
    <w:p w:rsidR="004B1A24" w:rsidRPr="00253207" w:rsidRDefault="004B1A24" w:rsidP="004B1A24">
      <w:pPr>
        <w:pStyle w:val="CUTable3"/>
        <w:numPr>
          <w:ilvl w:val="0"/>
          <w:numId w:val="0"/>
        </w:numPr>
        <w:rPr>
          <w:rFonts w:ascii="Times New Roman" w:eastAsia="Arial" w:hAnsi="Times New Roman"/>
          <w:szCs w:val="20"/>
          <w:lang w:bidi="ar-SA"/>
        </w:rPr>
      </w:pPr>
      <w:r w:rsidRPr="00253207">
        <w:rPr>
          <w:rFonts w:ascii="Times New Roman" w:eastAsia="Arial" w:hAnsi="Times New Roman"/>
          <w:szCs w:val="20"/>
        </w:rPr>
        <w:t xml:space="preserve">Further to clause </w:t>
      </w:r>
      <w:r w:rsidRPr="00253207">
        <w:rPr>
          <w:rFonts w:ascii="Times New Roman" w:eastAsia="Arial" w:hAnsi="Times New Roman"/>
          <w:szCs w:val="20"/>
        </w:rPr>
        <w:fldChar w:fldCharType="begin"/>
      </w:r>
      <w:r w:rsidRPr="00253207">
        <w:rPr>
          <w:rFonts w:ascii="Times New Roman" w:eastAsia="Arial" w:hAnsi="Times New Roman"/>
          <w:szCs w:val="20"/>
        </w:rPr>
        <w:instrText xml:space="preserve"> REF _Ref172559190 \w \h  \* MERGEFORMAT </w:instrText>
      </w:r>
      <w:r w:rsidRPr="00253207">
        <w:rPr>
          <w:rFonts w:ascii="Times New Roman" w:eastAsia="Arial" w:hAnsi="Times New Roman"/>
          <w:szCs w:val="20"/>
        </w:rPr>
      </w:r>
      <w:r w:rsidRPr="00253207">
        <w:rPr>
          <w:rFonts w:ascii="Times New Roman" w:eastAsia="Arial" w:hAnsi="Times New Roman"/>
          <w:szCs w:val="20"/>
        </w:rPr>
        <w:fldChar w:fldCharType="separate"/>
      </w:r>
      <w:r w:rsidRPr="00253207">
        <w:rPr>
          <w:rFonts w:ascii="Times New Roman" w:eastAsia="Arial" w:hAnsi="Times New Roman"/>
          <w:szCs w:val="20"/>
        </w:rPr>
        <w:t>4</w:t>
      </w:r>
      <w:r w:rsidRPr="00253207">
        <w:rPr>
          <w:rFonts w:ascii="Times New Roman" w:eastAsia="Arial" w:hAnsi="Times New Roman"/>
          <w:szCs w:val="20"/>
        </w:rPr>
        <w:fldChar w:fldCharType="end"/>
      </w:r>
      <w:r w:rsidRPr="00253207">
        <w:rPr>
          <w:rFonts w:ascii="Times New Roman" w:eastAsia="Arial" w:hAnsi="Times New Roman"/>
          <w:szCs w:val="20"/>
        </w:rPr>
        <w:fldChar w:fldCharType="begin"/>
      </w:r>
      <w:r w:rsidRPr="00253207">
        <w:rPr>
          <w:rFonts w:ascii="Times New Roman" w:eastAsia="Arial" w:hAnsi="Times New Roman"/>
          <w:szCs w:val="20"/>
        </w:rPr>
        <w:instrText xml:space="preserve"> REF _Ref167695093 \w \h  \* MERGEFORMAT </w:instrText>
      </w:r>
      <w:r w:rsidRPr="00253207">
        <w:rPr>
          <w:rFonts w:ascii="Times New Roman" w:eastAsia="Arial" w:hAnsi="Times New Roman"/>
          <w:szCs w:val="20"/>
        </w:rPr>
      </w:r>
      <w:r w:rsidRPr="00253207">
        <w:rPr>
          <w:rFonts w:ascii="Times New Roman" w:eastAsia="Arial" w:hAnsi="Times New Roman"/>
          <w:szCs w:val="20"/>
        </w:rPr>
        <w:fldChar w:fldCharType="separate"/>
      </w:r>
      <w:r>
        <w:rPr>
          <w:rFonts w:ascii="Times New Roman" w:eastAsia="Arial" w:hAnsi="Times New Roman"/>
          <w:szCs w:val="20"/>
        </w:rPr>
        <w:t>(a)</w:t>
      </w:r>
      <w:r w:rsidRPr="00253207">
        <w:rPr>
          <w:rFonts w:ascii="Times New Roman" w:eastAsia="Arial" w:hAnsi="Times New Roman"/>
          <w:szCs w:val="20"/>
        </w:rPr>
        <w:fldChar w:fldCharType="end"/>
      </w:r>
      <w:r w:rsidRPr="00253207">
        <w:rPr>
          <w:rFonts w:ascii="Times New Roman" w:eastAsia="Arial" w:hAnsi="Times New Roman"/>
          <w:szCs w:val="20"/>
        </w:rPr>
        <w:t xml:space="preserve"> above, l</w:t>
      </w:r>
      <w:r w:rsidRPr="00253207">
        <w:rPr>
          <w:rFonts w:ascii="Times New Roman" w:eastAsia="Arial" w:hAnsi="Times New Roman"/>
          <w:szCs w:val="20"/>
          <w:lang w:bidi="ar-SA"/>
        </w:rPr>
        <w:t xml:space="preserve">ocal industry participation is an expected outcome of Commonwealth expenditure.  This expectancy builds on the Commonwealth Procurement Rules, which require procurement practices that do not unfairly discriminate against Small and Medium Enterprises (SMEs) and provide appropriate opportunities for SMEs to compete for Commonwealth funded work.  </w:t>
      </w:r>
      <w:r>
        <w:rPr>
          <w:rFonts w:ascii="Times New Roman" w:eastAsia="Arial" w:hAnsi="Times New Roman"/>
          <w:szCs w:val="20"/>
          <w:lang w:bidi="ar-SA"/>
        </w:rPr>
        <w:t xml:space="preserve">Panel </w:t>
      </w:r>
      <w:r w:rsidRPr="00253207">
        <w:rPr>
          <w:rFonts w:ascii="Times New Roman" w:eastAsia="Arial" w:hAnsi="Times New Roman"/>
          <w:szCs w:val="20"/>
          <w:lang w:bidi="ar-SA"/>
        </w:rPr>
        <w:t xml:space="preserve">Contractors are also referred to the Defence Policy for Industry Participation (available at https://www.defence.gov.au/business-industry/programs/defence-policy-industry-participation). </w:t>
      </w:r>
    </w:p>
    <w:p w:rsidR="004B1A24" w:rsidRPr="00253207" w:rsidRDefault="004B1A24" w:rsidP="004B1A24">
      <w:pPr>
        <w:pStyle w:val="CUTable1"/>
        <w:tabs>
          <w:tab w:val="clear" w:pos="360"/>
        </w:tabs>
        <w:ind w:left="567" w:hanging="567"/>
        <w:rPr>
          <w:rFonts w:ascii="Times New Roman" w:eastAsia="Arial" w:hAnsi="Times New Roman"/>
          <w:b/>
          <w:bCs/>
          <w:szCs w:val="20"/>
          <w:lang w:bidi="ar-SA"/>
        </w:rPr>
      </w:pPr>
      <w:r w:rsidRPr="00253207">
        <w:rPr>
          <w:rFonts w:ascii="Times New Roman" w:eastAsia="Arial" w:hAnsi="Times New Roman"/>
          <w:b/>
          <w:bCs/>
          <w:szCs w:val="20"/>
          <w:lang w:bidi="ar-SA"/>
        </w:rPr>
        <w:t>Environmentally Sustainable Procurement Policy</w:t>
      </w:r>
    </w:p>
    <w:p w:rsidR="004B1A24" w:rsidRPr="00253207" w:rsidRDefault="004B1A24" w:rsidP="004B1A24">
      <w:pPr>
        <w:pStyle w:val="CUTable1"/>
        <w:numPr>
          <w:ilvl w:val="0"/>
          <w:numId w:val="0"/>
        </w:numPr>
        <w:rPr>
          <w:rFonts w:ascii="Times New Roman" w:eastAsia="Arial" w:hAnsi="Times New Roman"/>
          <w:szCs w:val="20"/>
          <w:lang w:bidi="ar-SA"/>
        </w:rPr>
      </w:pPr>
      <w:r w:rsidRPr="00253207">
        <w:rPr>
          <w:rFonts w:ascii="Times New Roman" w:eastAsia="Arial" w:hAnsi="Times New Roman"/>
          <w:szCs w:val="20"/>
        </w:rPr>
        <w:t xml:space="preserve">Further to clause </w:t>
      </w:r>
      <w:r w:rsidRPr="00253207">
        <w:rPr>
          <w:rFonts w:ascii="Times New Roman" w:eastAsia="Arial" w:hAnsi="Times New Roman"/>
          <w:szCs w:val="20"/>
        </w:rPr>
        <w:fldChar w:fldCharType="begin"/>
      </w:r>
      <w:r w:rsidRPr="00253207">
        <w:rPr>
          <w:rFonts w:ascii="Times New Roman" w:eastAsia="Arial" w:hAnsi="Times New Roman"/>
          <w:szCs w:val="20"/>
        </w:rPr>
        <w:instrText xml:space="preserve"> REF _Ref172559190 \w \h  \* MERGEFORMAT </w:instrText>
      </w:r>
      <w:r w:rsidRPr="00253207">
        <w:rPr>
          <w:rFonts w:ascii="Times New Roman" w:eastAsia="Arial" w:hAnsi="Times New Roman"/>
          <w:szCs w:val="20"/>
        </w:rPr>
      </w:r>
      <w:r w:rsidRPr="00253207">
        <w:rPr>
          <w:rFonts w:ascii="Times New Roman" w:eastAsia="Arial" w:hAnsi="Times New Roman"/>
          <w:szCs w:val="20"/>
        </w:rPr>
        <w:fldChar w:fldCharType="separate"/>
      </w:r>
      <w:r w:rsidRPr="00253207">
        <w:rPr>
          <w:rFonts w:ascii="Times New Roman" w:eastAsia="Arial" w:hAnsi="Times New Roman"/>
          <w:szCs w:val="20"/>
        </w:rPr>
        <w:t>4</w:t>
      </w:r>
      <w:r w:rsidRPr="00253207">
        <w:rPr>
          <w:rFonts w:ascii="Times New Roman" w:eastAsia="Arial" w:hAnsi="Times New Roman"/>
          <w:szCs w:val="20"/>
        </w:rPr>
        <w:fldChar w:fldCharType="end"/>
      </w:r>
      <w:r w:rsidRPr="00253207">
        <w:rPr>
          <w:rFonts w:ascii="Times New Roman" w:eastAsia="Arial" w:hAnsi="Times New Roman"/>
          <w:szCs w:val="20"/>
        </w:rPr>
        <w:fldChar w:fldCharType="begin"/>
      </w:r>
      <w:r w:rsidRPr="00253207">
        <w:rPr>
          <w:rFonts w:ascii="Times New Roman" w:eastAsia="Arial" w:hAnsi="Times New Roman"/>
          <w:szCs w:val="20"/>
        </w:rPr>
        <w:instrText xml:space="preserve"> REF _Ref167695093 \w \h  \* MERGEFORMAT </w:instrText>
      </w:r>
      <w:r w:rsidRPr="00253207">
        <w:rPr>
          <w:rFonts w:ascii="Times New Roman" w:eastAsia="Arial" w:hAnsi="Times New Roman"/>
          <w:szCs w:val="20"/>
        </w:rPr>
      </w:r>
      <w:r w:rsidRPr="00253207">
        <w:rPr>
          <w:rFonts w:ascii="Times New Roman" w:eastAsia="Arial" w:hAnsi="Times New Roman"/>
          <w:szCs w:val="20"/>
        </w:rPr>
        <w:fldChar w:fldCharType="separate"/>
      </w:r>
      <w:r w:rsidRPr="00253207">
        <w:rPr>
          <w:rFonts w:ascii="Times New Roman" w:eastAsia="Arial" w:hAnsi="Times New Roman"/>
          <w:szCs w:val="20"/>
        </w:rPr>
        <w:t>(a)</w:t>
      </w:r>
      <w:r w:rsidRPr="00253207">
        <w:rPr>
          <w:rFonts w:ascii="Times New Roman" w:eastAsia="Arial" w:hAnsi="Times New Roman"/>
          <w:szCs w:val="20"/>
        </w:rPr>
        <w:fldChar w:fldCharType="end"/>
      </w:r>
      <w:r w:rsidRPr="00253207">
        <w:rPr>
          <w:rFonts w:ascii="Times New Roman" w:eastAsia="Arial" w:hAnsi="Times New Roman"/>
          <w:szCs w:val="20"/>
        </w:rPr>
        <w:t xml:space="preserve"> above, </w:t>
      </w:r>
      <w:r w:rsidRPr="00253207">
        <w:rPr>
          <w:rFonts w:ascii="Times New Roman" w:eastAsia="Arial" w:hAnsi="Times New Roman"/>
          <w:szCs w:val="20"/>
          <w:lang w:bidi="ar-SA"/>
        </w:rPr>
        <w:t>the Environmentally Sustainable Procurement Policy (available at www.dcceew.gov.au/sustainable-procurement) seeks to reduce the environmental impact of Australian Government procurements and support Australia’s transition to a net zero, circular economy.  More information on the Environmentally Sustainable Procurement Policy is available at www.dcceew.gov.au/sustainable-procurement.</w:t>
      </w:r>
    </w:p>
    <w:p w:rsidR="004B1A24" w:rsidRPr="00253207" w:rsidRDefault="004B1A24" w:rsidP="004B1A24">
      <w:pPr>
        <w:pStyle w:val="CUTable1"/>
        <w:tabs>
          <w:tab w:val="clear" w:pos="360"/>
        </w:tabs>
        <w:ind w:left="567" w:hanging="567"/>
        <w:rPr>
          <w:rFonts w:ascii="Times New Roman" w:eastAsia="Arial" w:hAnsi="Times New Roman"/>
          <w:b/>
          <w:bCs/>
          <w:szCs w:val="20"/>
          <w:lang w:bidi="ar-SA"/>
        </w:rPr>
      </w:pPr>
      <w:bookmarkStart w:id="11" w:name="_Ref173144415"/>
      <w:r w:rsidRPr="00253207">
        <w:rPr>
          <w:rFonts w:ascii="Times New Roman" w:eastAsia="Arial" w:hAnsi="Times New Roman"/>
          <w:b/>
          <w:bCs/>
          <w:szCs w:val="20"/>
          <w:lang w:bidi="ar-SA"/>
        </w:rPr>
        <w:t>Australian Skills Guarantee Procurement Connected Policy</w:t>
      </w:r>
      <w:bookmarkEnd w:id="11"/>
    </w:p>
    <w:p w:rsidR="004B1A24" w:rsidRPr="00253207" w:rsidRDefault="004B1A24" w:rsidP="004B1A24">
      <w:pPr>
        <w:pStyle w:val="CUTable1"/>
        <w:numPr>
          <w:ilvl w:val="0"/>
          <w:numId w:val="0"/>
        </w:numPr>
        <w:rPr>
          <w:rFonts w:ascii="Times New Roman" w:eastAsia="Arial" w:hAnsi="Times New Roman"/>
          <w:szCs w:val="20"/>
          <w:lang w:bidi="ar-SA"/>
        </w:rPr>
      </w:pPr>
      <w:r w:rsidRPr="00253207">
        <w:rPr>
          <w:rFonts w:ascii="Times New Roman" w:eastAsia="Arial" w:hAnsi="Times New Roman"/>
          <w:szCs w:val="20"/>
        </w:rPr>
        <w:t xml:space="preserve">Further to clause </w:t>
      </w:r>
      <w:r w:rsidRPr="00253207">
        <w:rPr>
          <w:rFonts w:ascii="Times New Roman" w:eastAsia="Arial" w:hAnsi="Times New Roman"/>
          <w:szCs w:val="20"/>
        </w:rPr>
        <w:fldChar w:fldCharType="begin"/>
      </w:r>
      <w:r w:rsidRPr="00253207">
        <w:rPr>
          <w:rFonts w:ascii="Times New Roman" w:eastAsia="Arial" w:hAnsi="Times New Roman"/>
          <w:szCs w:val="20"/>
        </w:rPr>
        <w:instrText xml:space="preserve"> REF _Ref172559190 \w \h  \* MERGEFORMAT </w:instrText>
      </w:r>
      <w:r w:rsidRPr="00253207">
        <w:rPr>
          <w:rFonts w:ascii="Times New Roman" w:eastAsia="Arial" w:hAnsi="Times New Roman"/>
          <w:szCs w:val="20"/>
        </w:rPr>
      </w:r>
      <w:r w:rsidRPr="00253207">
        <w:rPr>
          <w:rFonts w:ascii="Times New Roman" w:eastAsia="Arial" w:hAnsi="Times New Roman"/>
          <w:szCs w:val="20"/>
        </w:rPr>
        <w:fldChar w:fldCharType="separate"/>
      </w:r>
      <w:r w:rsidRPr="00253207">
        <w:rPr>
          <w:rFonts w:ascii="Times New Roman" w:eastAsia="Arial" w:hAnsi="Times New Roman"/>
          <w:szCs w:val="20"/>
        </w:rPr>
        <w:t>4</w:t>
      </w:r>
      <w:r w:rsidRPr="00253207">
        <w:rPr>
          <w:rFonts w:ascii="Times New Roman" w:eastAsia="Arial" w:hAnsi="Times New Roman"/>
          <w:szCs w:val="20"/>
        </w:rPr>
        <w:fldChar w:fldCharType="end"/>
      </w:r>
      <w:r w:rsidRPr="00253207">
        <w:rPr>
          <w:rFonts w:ascii="Times New Roman" w:eastAsia="Arial" w:hAnsi="Times New Roman"/>
          <w:szCs w:val="20"/>
        </w:rPr>
        <w:fldChar w:fldCharType="begin"/>
      </w:r>
      <w:r w:rsidRPr="00253207">
        <w:rPr>
          <w:rFonts w:ascii="Times New Roman" w:eastAsia="Arial" w:hAnsi="Times New Roman"/>
          <w:szCs w:val="20"/>
        </w:rPr>
        <w:instrText xml:space="preserve"> REF _Ref167695093 \w \h  \* MERGEFORMAT </w:instrText>
      </w:r>
      <w:r w:rsidRPr="00253207">
        <w:rPr>
          <w:rFonts w:ascii="Times New Roman" w:eastAsia="Arial" w:hAnsi="Times New Roman"/>
          <w:szCs w:val="20"/>
        </w:rPr>
      </w:r>
      <w:r w:rsidRPr="00253207">
        <w:rPr>
          <w:rFonts w:ascii="Times New Roman" w:eastAsia="Arial" w:hAnsi="Times New Roman"/>
          <w:szCs w:val="20"/>
        </w:rPr>
        <w:fldChar w:fldCharType="separate"/>
      </w:r>
      <w:r>
        <w:rPr>
          <w:rFonts w:ascii="Times New Roman" w:eastAsia="Arial" w:hAnsi="Times New Roman"/>
          <w:szCs w:val="20"/>
        </w:rPr>
        <w:t>(a)</w:t>
      </w:r>
      <w:r w:rsidRPr="00253207">
        <w:rPr>
          <w:rFonts w:ascii="Times New Roman" w:eastAsia="Arial" w:hAnsi="Times New Roman"/>
          <w:szCs w:val="20"/>
        </w:rPr>
        <w:fldChar w:fldCharType="end"/>
      </w:r>
      <w:r w:rsidRPr="00253207">
        <w:rPr>
          <w:rFonts w:ascii="Times New Roman" w:eastAsia="Arial" w:hAnsi="Times New Roman"/>
          <w:szCs w:val="20"/>
        </w:rPr>
        <w:t xml:space="preserve"> above, </w:t>
      </w:r>
      <w:r w:rsidRPr="00253207">
        <w:rPr>
          <w:rFonts w:ascii="Times New Roman" w:eastAsia="Arial" w:hAnsi="Times New Roman"/>
          <w:szCs w:val="20"/>
          <w:lang w:bidi="ar-SA"/>
        </w:rPr>
        <w:t>the Australian Skills Guarantee Procurement Connected Policy (available at https://www.dewr.gov.au/australian-skills-guarantee) seeks to address gender segregation and acute skills shortages by introducing the Australian Skills Guarantee Targets (as defined in the Australian Skills Guarantee Procurement Connected Policy).</w:t>
      </w:r>
    </w:p>
    <w:p w:rsidR="004B1A24" w:rsidRPr="00253207" w:rsidRDefault="004B1A24" w:rsidP="004B1A24">
      <w:pPr>
        <w:pStyle w:val="CUTable1"/>
        <w:tabs>
          <w:tab w:val="clear" w:pos="360"/>
        </w:tabs>
        <w:ind w:left="567" w:hanging="567"/>
        <w:rPr>
          <w:rFonts w:ascii="Times New Roman" w:eastAsia="Arial" w:hAnsi="Times New Roman"/>
          <w:b/>
          <w:bCs/>
          <w:szCs w:val="20"/>
          <w:lang w:bidi="ar-SA"/>
        </w:rPr>
      </w:pPr>
      <w:bookmarkStart w:id="12" w:name="_Toc167174879"/>
      <w:bookmarkStart w:id="13" w:name="_Toc167442636"/>
      <w:bookmarkStart w:id="14" w:name="_Toc167174880"/>
      <w:bookmarkStart w:id="15" w:name="_Toc167442637"/>
      <w:bookmarkStart w:id="16" w:name="_Toc167174881"/>
      <w:bookmarkStart w:id="17" w:name="_Toc167442638"/>
      <w:bookmarkEnd w:id="12"/>
      <w:bookmarkEnd w:id="13"/>
      <w:bookmarkEnd w:id="14"/>
      <w:bookmarkEnd w:id="15"/>
      <w:bookmarkEnd w:id="16"/>
      <w:bookmarkEnd w:id="17"/>
      <w:r w:rsidRPr="00253207">
        <w:rPr>
          <w:rFonts w:ascii="Times New Roman" w:eastAsia="Arial" w:hAnsi="Times New Roman"/>
          <w:b/>
          <w:bCs/>
          <w:szCs w:val="20"/>
          <w:lang w:bidi="ar-SA"/>
        </w:rPr>
        <w:t>Related Goods and Services</w:t>
      </w:r>
    </w:p>
    <w:p w:rsidR="004B1A24" w:rsidRPr="00253207" w:rsidRDefault="004B1A24" w:rsidP="004B1A24">
      <w:pPr>
        <w:pStyle w:val="Para0"/>
        <w:rPr>
          <w:rFonts w:ascii="Times New Roman" w:eastAsia="Arial" w:hAnsi="Times New Roman" w:cs="Times New Roman"/>
          <w:color w:val="auto"/>
          <w:lang w:val="en-AU"/>
        </w:rPr>
      </w:pPr>
      <w:r w:rsidRPr="00253207">
        <w:rPr>
          <w:rFonts w:ascii="Times New Roman" w:eastAsia="Arial" w:hAnsi="Times New Roman" w:cs="Times New Roman"/>
          <w:color w:val="auto"/>
          <w:lang w:val="en-AU"/>
        </w:rPr>
        <w:t xml:space="preserve">As part of undertaking the activities forming part of an Engagement, Panel Contractors may be required to: </w:t>
      </w:r>
    </w:p>
    <w:p w:rsidR="004B1A24" w:rsidRPr="00253207" w:rsidRDefault="004B1A24" w:rsidP="004B1A24">
      <w:pPr>
        <w:pStyle w:val="Para0"/>
        <w:numPr>
          <w:ilvl w:val="0"/>
          <w:numId w:val="5"/>
        </w:numPr>
        <w:ind w:left="709" w:hanging="709"/>
        <w:rPr>
          <w:rFonts w:ascii="Times New Roman" w:eastAsia="Arial" w:hAnsi="Times New Roman" w:cs="Times New Roman"/>
          <w:color w:val="auto"/>
          <w:lang w:val="en-AU"/>
        </w:rPr>
      </w:pPr>
      <w:r w:rsidRPr="00253207">
        <w:rPr>
          <w:rFonts w:ascii="Times New Roman" w:eastAsia="Arial" w:hAnsi="Times New Roman" w:cs="Times New Roman"/>
          <w:color w:val="auto"/>
          <w:lang w:val="en-AU"/>
        </w:rPr>
        <w:t>undertake design, programming and cost planning;</w:t>
      </w:r>
    </w:p>
    <w:p w:rsidR="004B1A24" w:rsidRPr="00253207" w:rsidRDefault="004B1A24" w:rsidP="004B1A24">
      <w:pPr>
        <w:pStyle w:val="Para0"/>
        <w:numPr>
          <w:ilvl w:val="0"/>
          <w:numId w:val="5"/>
        </w:numPr>
        <w:ind w:left="709" w:hanging="709"/>
        <w:rPr>
          <w:rFonts w:ascii="Times New Roman" w:eastAsia="Arial" w:hAnsi="Times New Roman" w:cs="Times New Roman"/>
          <w:color w:val="auto"/>
          <w:lang w:val="en-AU"/>
        </w:rPr>
      </w:pPr>
      <w:r w:rsidRPr="00253207">
        <w:rPr>
          <w:rFonts w:ascii="Times New Roman" w:eastAsia="Arial" w:hAnsi="Times New Roman" w:cs="Times New Roman"/>
          <w:color w:val="auto"/>
          <w:lang w:val="en-AU"/>
        </w:rPr>
        <w:t>develop project plans, drawings, operations and maintenance manuals and other documentation;</w:t>
      </w:r>
    </w:p>
    <w:p w:rsidR="004B1A24" w:rsidRPr="00253207" w:rsidRDefault="004B1A24" w:rsidP="004B1A24">
      <w:pPr>
        <w:pStyle w:val="Para0"/>
        <w:numPr>
          <w:ilvl w:val="0"/>
          <w:numId w:val="5"/>
        </w:numPr>
        <w:ind w:left="709" w:hanging="709"/>
        <w:rPr>
          <w:rFonts w:ascii="Times New Roman" w:eastAsia="Arial" w:hAnsi="Times New Roman" w:cs="Times New Roman"/>
          <w:color w:val="auto"/>
          <w:lang w:val="en-AU"/>
        </w:rPr>
      </w:pPr>
      <w:r w:rsidRPr="00253207">
        <w:rPr>
          <w:rFonts w:ascii="Times New Roman" w:eastAsia="Arial" w:hAnsi="Times New Roman" w:cs="Times New Roman"/>
          <w:color w:val="auto"/>
          <w:lang w:val="en-AU"/>
        </w:rPr>
        <w:t xml:space="preserve">participate in early contractor involvement processes; </w:t>
      </w:r>
    </w:p>
    <w:p w:rsidR="004B1A24" w:rsidRPr="00253207" w:rsidRDefault="004B1A24" w:rsidP="004B1A24">
      <w:pPr>
        <w:pStyle w:val="Para0"/>
        <w:numPr>
          <w:ilvl w:val="0"/>
          <w:numId w:val="5"/>
        </w:numPr>
        <w:ind w:left="709" w:hanging="709"/>
        <w:rPr>
          <w:rFonts w:ascii="Times New Roman" w:eastAsia="Arial" w:hAnsi="Times New Roman" w:cs="Times New Roman"/>
          <w:color w:val="auto"/>
          <w:lang w:val="en-AU"/>
        </w:rPr>
      </w:pPr>
      <w:r w:rsidRPr="00253207">
        <w:rPr>
          <w:rFonts w:ascii="Times New Roman" w:eastAsia="Arial" w:hAnsi="Times New Roman" w:cs="Times New Roman"/>
          <w:color w:val="auto"/>
          <w:lang w:val="en-AU"/>
        </w:rPr>
        <w:t xml:space="preserve">undertake stakeholder consultation; </w:t>
      </w:r>
    </w:p>
    <w:p w:rsidR="004B1A24" w:rsidRPr="00253207" w:rsidRDefault="004B1A24" w:rsidP="004B1A24">
      <w:pPr>
        <w:pStyle w:val="Para0"/>
        <w:numPr>
          <w:ilvl w:val="0"/>
          <w:numId w:val="5"/>
        </w:numPr>
        <w:ind w:left="709" w:hanging="709"/>
        <w:rPr>
          <w:rFonts w:ascii="Times New Roman" w:eastAsia="Arial" w:hAnsi="Times New Roman" w:cs="Times New Roman"/>
          <w:color w:val="auto"/>
          <w:lang w:val="en-AU"/>
        </w:rPr>
      </w:pPr>
      <w:r w:rsidRPr="00253207">
        <w:rPr>
          <w:rFonts w:ascii="Times New Roman" w:eastAsia="Arial" w:hAnsi="Times New Roman" w:cs="Times New Roman"/>
          <w:color w:val="auto"/>
          <w:lang w:val="en-AU"/>
        </w:rPr>
        <w:t xml:space="preserve">provide support in connection with obtaining Government and other approvals; </w:t>
      </w:r>
    </w:p>
    <w:p w:rsidR="004B1A24" w:rsidRPr="00253207" w:rsidRDefault="004B1A24" w:rsidP="004B1A24">
      <w:pPr>
        <w:pStyle w:val="Para0"/>
        <w:numPr>
          <w:ilvl w:val="0"/>
          <w:numId w:val="5"/>
        </w:numPr>
        <w:ind w:left="709" w:hanging="709"/>
        <w:rPr>
          <w:rFonts w:ascii="Times New Roman" w:eastAsia="Arial" w:hAnsi="Times New Roman" w:cs="Times New Roman"/>
          <w:color w:val="auto"/>
          <w:lang w:val="en-AU"/>
        </w:rPr>
      </w:pPr>
      <w:r w:rsidRPr="00253207">
        <w:rPr>
          <w:rFonts w:ascii="Times New Roman" w:eastAsia="Arial" w:hAnsi="Times New Roman" w:cs="Times New Roman"/>
          <w:color w:val="auto"/>
          <w:lang w:val="en-AU"/>
        </w:rPr>
        <w:t xml:space="preserve">engage specialist subcontractors, including in accordance with any process prescribed in the relevant Contract; and </w:t>
      </w:r>
    </w:p>
    <w:p w:rsidR="00385068" w:rsidRDefault="004B1A24" w:rsidP="002C7886">
      <w:pPr>
        <w:pStyle w:val="Para0"/>
        <w:numPr>
          <w:ilvl w:val="0"/>
          <w:numId w:val="5"/>
        </w:numPr>
        <w:ind w:left="709" w:hanging="709"/>
      </w:pPr>
      <w:proofErr w:type="gramStart"/>
      <w:r w:rsidRPr="00D85ADC">
        <w:rPr>
          <w:rFonts w:ascii="Times New Roman" w:eastAsia="Arial" w:hAnsi="Times New Roman" w:cs="Times New Roman"/>
          <w:color w:val="auto"/>
          <w:lang w:val="en-AU"/>
        </w:rPr>
        <w:t>participate</w:t>
      </w:r>
      <w:proofErr w:type="gramEnd"/>
      <w:r w:rsidRPr="00D85ADC">
        <w:rPr>
          <w:rFonts w:ascii="Times New Roman" w:eastAsia="Arial" w:hAnsi="Times New Roman" w:cs="Times New Roman"/>
          <w:color w:val="auto"/>
          <w:lang w:val="en-AU"/>
        </w:rPr>
        <w:t xml:space="preserve"> in project reporting and governance activities. </w:t>
      </w:r>
    </w:p>
    <w:sectPr w:rsidR="00385068">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2F8F" w:rsidRDefault="00682F8F" w:rsidP="004B1A24">
      <w:pPr>
        <w:spacing w:after="0"/>
      </w:pPr>
      <w:r>
        <w:separator/>
      </w:r>
    </w:p>
  </w:endnote>
  <w:endnote w:type="continuationSeparator" w:id="0">
    <w:p w:rsidR="00682F8F" w:rsidRDefault="00682F8F" w:rsidP="004B1A2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Times New Roman"/>
    <w:panose1 w:val="020B0704020202020204"/>
    <w:charset w:val="00"/>
    <w:family w:val="roman"/>
    <w:notTrueType/>
    <w:pitch w:val="default"/>
  </w:font>
  <w:font w:name="Times">
    <w:panose1 w:val="02020603050405020304"/>
    <w:charset w:val="00"/>
    <w:family w:val="roman"/>
    <w:pitch w:val="variable"/>
    <w:sig w:usb0="E0002EFF" w:usb1="C000785B" w:usb2="00000009" w:usb3="00000000" w:csb0="000001FF" w:csb1="00000000"/>
  </w:font>
  <w:font w:name="Jacobs Chronos">
    <w:altName w:val="Calibri"/>
    <w:charset w:val="00"/>
    <w:family w:val="swiss"/>
    <w:pitch w:val="variable"/>
    <w:sig w:usb0="A00000EF" w:usb1="0000E0EB" w:usb2="00000008"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18E8" w:rsidRDefault="00A538DD">
    <w:pPr>
      <w:pStyle w:val="Footer"/>
    </w:pPr>
    <w:r>
      <w:t xml:space="preserve">Version updated </w:t>
    </w:r>
    <w:r w:rsidR="00CD18E8">
      <w:t>27 March 2025</w:t>
    </w:r>
    <w:r w:rsidR="00CD18E8">
      <w:ptab w:relativeTo="margin" w:alignment="center" w:leader="none"/>
    </w:r>
    <w:r w:rsidR="00CD18E8">
      <w:ptab w:relativeTo="margin" w:alignment="right" w:leader="none"/>
    </w:r>
    <w:r w:rsidR="00CD18E8">
      <w:fldChar w:fldCharType="begin"/>
    </w:r>
    <w:r w:rsidR="00CD18E8">
      <w:instrText xml:space="preserve"> PAGE   \* MERGEFORMAT </w:instrText>
    </w:r>
    <w:r w:rsidR="00CD18E8">
      <w:fldChar w:fldCharType="separate"/>
    </w:r>
    <w:r>
      <w:rPr>
        <w:noProof/>
      </w:rPr>
      <w:t>3</w:t>
    </w:r>
    <w:r w:rsidR="00CD18E8">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2F8F" w:rsidRDefault="00682F8F" w:rsidP="004B1A24">
      <w:pPr>
        <w:spacing w:after="0"/>
      </w:pPr>
      <w:r>
        <w:separator/>
      </w:r>
    </w:p>
  </w:footnote>
  <w:footnote w:type="continuationSeparator" w:id="0">
    <w:p w:rsidR="00682F8F" w:rsidRDefault="00682F8F" w:rsidP="004B1A24">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7667E9"/>
    <w:multiLevelType w:val="multilevel"/>
    <w:tmpl w:val="2092FFA4"/>
    <w:lvl w:ilvl="0">
      <w:start w:val="1"/>
      <w:numFmt w:val="decimal"/>
      <w:pStyle w:val="CUTable1"/>
      <w:lvlText w:val="%1."/>
      <w:lvlJc w:val="left"/>
      <w:pPr>
        <w:ind w:left="567" w:hanging="567"/>
      </w:pPr>
      <w:rPr>
        <w:rFonts w:hint="default"/>
        <w:sz w:val="20"/>
        <w:szCs w:val="20"/>
      </w:rPr>
    </w:lvl>
    <w:lvl w:ilvl="1">
      <w:start w:val="1"/>
      <w:numFmt w:val="decimal"/>
      <w:pStyle w:val="CUTable2"/>
      <w:lvlText w:val="%1.%2."/>
      <w:lvlJc w:val="left"/>
      <w:pPr>
        <w:ind w:left="567" w:hanging="567"/>
      </w:pPr>
      <w:rPr>
        <w:rFonts w:hint="default"/>
        <w:sz w:val="20"/>
      </w:rPr>
    </w:lvl>
    <w:lvl w:ilvl="2">
      <w:start w:val="1"/>
      <w:numFmt w:val="lowerLetter"/>
      <w:pStyle w:val="CUTable3"/>
      <w:lvlText w:val="(%3)"/>
      <w:lvlJc w:val="left"/>
      <w:pPr>
        <w:ind w:left="1134" w:hanging="567"/>
      </w:pPr>
      <w:rPr>
        <w:rFonts w:hint="default"/>
        <w:sz w:val="20"/>
      </w:rPr>
    </w:lvl>
    <w:lvl w:ilvl="3">
      <w:start w:val="1"/>
      <w:numFmt w:val="lowerRoman"/>
      <w:pStyle w:val="CUTable4"/>
      <w:lvlText w:val="(%4)"/>
      <w:lvlJc w:val="left"/>
      <w:pPr>
        <w:ind w:left="1701" w:hanging="567"/>
      </w:pPr>
      <w:rPr>
        <w:rFonts w:hint="default"/>
        <w:sz w:val="20"/>
      </w:rPr>
    </w:lvl>
    <w:lvl w:ilvl="4">
      <w:start w:val="1"/>
      <w:numFmt w:val="upperLetter"/>
      <w:pStyle w:val="CUTable5"/>
      <w:lvlText w:val="%5."/>
      <w:lvlJc w:val="left"/>
      <w:pPr>
        <w:ind w:left="2268" w:hanging="567"/>
      </w:pPr>
      <w:rPr>
        <w:rFonts w:hint="default"/>
        <w:sz w:val="2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2A511504"/>
    <w:multiLevelType w:val="hybridMultilevel"/>
    <w:tmpl w:val="DBF83B84"/>
    <w:lvl w:ilvl="0" w:tplc="FFFFFFFF">
      <w:start w:val="1"/>
      <w:numFmt w:val="lowerLetter"/>
      <w:lvlText w:val="(%1)"/>
      <w:lvlJc w:val="left"/>
      <w:pPr>
        <w:ind w:left="502" w:hanging="360"/>
      </w:pPr>
      <w:rPr>
        <w:rFonts w:hint="default"/>
        <w:sz w:val="20"/>
        <w:szCs w:val="20"/>
      </w:rPr>
    </w:lvl>
    <w:lvl w:ilvl="1" w:tplc="FFFFFFFF">
      <w:start w:val="1"/>
      <w:numFmt w:val="bullet"/>
      <w:lvlText w:val="o"/>
      <w:lvlJc w:val="left"/>
      <w:pPr>
        <w:ind w:left="1222" w:hanging="360"/>
      </w:pPr>
      <w:rPr>
        <w:rFonts w:ascii="Courier New" w:hAnsi="Courier New" w:cs="Courier New" w:hint="default"/>
      </w:rPr>
    </w:lvl>
    <w:lvl w:ilvl="2" w:tplc="FFFFFFFF" w:tentative="1">
      <w:start w:val="1"/>
      <w:numFmt w:val="bullet"/>
      <w:lvlText w:val=""/>
      <w:lvlJc w:val="left"/>
      <w:pPr>
        <w:ind w:left="1942" w:hanging="360"/>
      </w:pPr>
      <w:rPr>
        <w:rFonts w:ascii="Wingdings" w:hAnsi="Wingdings" w:hint="default"/>
      </w:rPr>
    </w:lvl>
    <w:lvl w:ilvl="3" w:tplc="FFFFFFFF" w:tentative="1">
      <w:start w:val="1"/>
      <w:numFmt w:val="bullet"/>
      <w:lvlText w:val=""/>
      <w:lvlJc w:val="left"/>
      <w:pPr>
        <w:ind w:left="2662" w:hanging="360"/>
      </w:pPr>
      <w:rPr>
        <w:rFonts w:ascii="Symbol" w:hAnsi="Symbol" w:hint="default"/>
      </w:rPr>
    </w:lvl>
    <w:lvl w:ilvl="4" w:tplc="FFFFFFFF" w:tentative="1">
      <w:start w:val="1"/>
      <w:numFmt w:val="bullet"/>
      <w:lvlText w:val="o"/>
      <w:lvlJc w:val="left"/>
      <w:pPr>
        <w:ind w:left="3382" w:hanging="360"/>
      </w:pPr>
      <w:rPr>
        <w:rFonts w:ascii="Courier New" w:hAnsi="Courier New" w:cs="Courier New" w:hint="default"/>
      </w:rPr>
    </w:lvl>
    <w:lvl w:ilvl="5" w:tplc="FFFFFFFF" w:tentative="1">
      <w:start w:val="1"/>
      <w:numFmt w:val="bullet"/>
      <w:lvlText w:val=""/>
      <w:lvlJc w:val="left"/>
      <w:pPr>
        <w:ind w:left="4102" w:hanging="360"/>
      </w:pPr>
      <w:rPr>
        <w:rFonts w:ascii="Wingdings" w:hAnsi="Wingdings" w:hint="default"/>
      </w:rPr>
    </w:lvl>
    <w:lvl w:ilvl="6" w:tplc="FFFFFFFF" w:tentative="1">
      <w:start w:val="1"/>
      <w:numFmt w:val="bullet"/>
      <w:lvlText w:val=""/>
      <w:lvlJc w:val="left"/>
      <w:pPr>
        <w:ind w:left="4822" w:hanging="360"/>
      </w:pPr>
      <w:rPr>
        <w:rFonts w:ascii="Symbol" w:hAnsi="Symbol" w:hint="default"/>
      </w:rPr>
    </w:lvl>
    <w:lvl w:ilvl="7" w:tplc="FFFFFFFF" w:tentative="1">
      <w:start w:val="1"/>
      <w:numFmt w:val="bullet"/>
      <w:lvlText w:val="o"/>
      <w:lvlJc w:val="left"/>
      <w:pPr>
        <w:ind w:left="5542" w:hanging="360"/>
      </w:pPr>
      <w:rPr>
        <w:rFonts w:ascii="Courier New" w:hAnsi="Courier New" w:cs="Courier New" w:hint="default"/>
      </w:rPr>
    </w:lvl>
    <w:lvl w:ilvl="8" w:tplc="FFFFFFFF" w:tentative="1">
      <w:start w:val="1"/>
      <w:numFmt w:val="bullet"/>
      <w:lvlText w:val=""/>
      <w:lvlJc w:val="left"/>
      <w:pPr>
        <w:ind w:left="6262" w:hanging="360"/>
      </w:pPr>
      <w:rPr>
        <w:rFonts w:ascii="Wingdings" w:hAnsi="Wingdings" w:hint="default"/>
      </w:rPr>
    </w:lvl>
  </w:abstractNum>
  <w:abstractNum w:abstractNumId="2" w15:restartNumberingAfterBreak="0">
    <w:nsid w:val="54080C0B"/>
    <w:multiLevelType w:val="hybridMultilevel"/>
    <w:tmpl w:val="DBF83B84"/>
    <w:lvl w:ilvl="0" w:tplc="FFFFFFFF">
      <w:start w:val="1"/>
      <w:numFmt w:val="lowerLetter"/>
      <w:lvlText w:val="(%1)"/>
      <w:lvlJc w:val="left"/>
      <w:pPr>
        <w:ind w:left="502" w:hanging="360"/>
      </w:pPr>
      <w:rPr>
        <w:rFonts w:hint="default"/>
        <w:sz w:val="20"/>
        <w:szCs w:val="20"/>
      </w:rPr>
    </w:lvl>
    <w:lvl w:ilvl="1" w:tplc="FFFFFFFF">
      <w:start w:val="1"/>
      <w:numFmt w:val="bullet"/>
      <w:lvlText w:val="o"/>
      <w:lvlJc w:val="left"/>
      <w:pPr>
        <w:ind w:left="1222" w:hanging="360"/>
      </w:pPr>
      <w:rPr>
        <w:rFonts w:ascii="Courier New" w:hAnsi="Courier New" w:cs="Courier New" w:hint="default"/>
      </w:rPr>
    </w:lvl>
    <w:lvl w:ilvl="2" w:tplc="FFFFFFFF" w:tentative="1">
      <w:start w:val="1"/>
      <w:numFmt w:val="bullet"/>
      <w:lvlText w:val=""/>
      <w:lvlJc w:val="left"/>
      <w:pPr>
        <w:ind w:left="1942" w:hanging="360"/>
      </w:pPr>
      <w:rPr>
        <w:rFonts w:ascii="Wingdings" w:hAnsi="Wingdings" w:hint="default"/>
      </w:rPr>
    </w:lvl>
    <w:lvl w:ilvl="3" w:tplc="FFFFFFFF" w:tentative="1">
      <w:start w:val="1"/>
      <w:numFmt w:val="bullet"/>
      <w:lvlText w:val=""/>
      <w:lvlJc w:val="left"/>
      <w:pPr>
        <w:ind w:left="2662" w:hanging="360"/>
      </w:pPr>
      <w:rPr>
        <w:rFonts w:ascii="Symbol" w:hAnsi="Symbol" w:hint="default"/>
      </w:rPr>
    </w:lvl>
    <w:lvl w:ilvl="4" w:tplc="FFFFFFFF" w:tentative="1">
      <w:start w:val="1"/>
      <w:numFmt w:val="bullet"/>
      <w:lvlText w:val="o"/>
      <w:lvlJc w:val="left"/>
      <w:pPr>
        <w:ind w:left="3382" w:hanging="360"/>
      </w:pPr>
      <w:rPr>
        <w:rFonts w:ascii="Courier New" w:hAnsi="Courier New" w:cs="Courier New" w:hint="default"/>
      </w:rPr>
    </w:lvl>
    <w:lvl w:ilvl="5" w:tplc="FFFFFFFF" w:tentative="1">
      <w:start w:val="1"/>
      <w:numFmt w:val="bullet"/>
      <w:lvlText w:val=""/>
      <w:lvlJc w:val="left"/>
      <w:pPr>
        <w:ind w:left="4102" w:hanging="360"/>
      </w:pPr>
      <w:rPr>
        <w:rFonts w:ascii="Wingdings" w:hAnsi="Wingdings" w:hint="default"/>
      </w:rPr>
    </w:lvl>
    <w:lvl w:ilvl="6" w:tplc="FFFFFFFF" w:tentative="1">
      <w:start w:val="1"/>
      <w:numFmt w:val="bullet"/>
      <w:lvlText w:val=""/>
      <w:lvlJc w:val="left"/>
      <w:pPr>
        <w:ind w:left="4822" w:hanging="360"/>
      </w:pPr>
      <w:rPr>
        <w:rFonts w:ascii="Symbol" w:hAnsi="Symbol" w:hint="default"/>
      </w:rPr>
    </w:lvl>
    <w:lvl w:ilvl="7" w:tplc="FFFFFFFF" w:tentative="1">
      <w:start w:val="1"/>
      <w:numFmt w:val="bullet"/>
      <w:lvlText w:val="o"/>
      <w:lvlJc w:val="left"/>
      <w:pPr>
        <w:ind w:left="5542" w:hanging="360"/>
      </w:pPr>
      <w:rPr>
        <w:rFonts w:ascii="Courier New" w:hAnsi="Courier New" w:cs="Courier New" w:hint="default"/>
      </w:rPr>
    </w:lvl>
    <w:lvl w:ilvl="8" w:tplc="FFFFFFFF" w:tentative="1">
      <w:start w:val="1"/>
      <w:numFmt w:val="bullet"/>
      <w:lvlText w:val=""/>
      <w:lvlJc w:val="left"/>
      <w:pPr>
        <w:ind w:left="6262" w:hanging="360"/>
      </w:pPr>
      <w:rPr>
        <w:rFonts w:ascii="Wingdings" w:hAnsi="Wingdings" w:hint="default"/>
      </w:rPr>
    </w:lvl>
  </w:abstractNum>
  <w:abstractNum w:abstractNumId="3" w15:restartNumberingAfterBreak="0">
    <w:nsid w:val="5E594AE0"/>
    <w:multiLevelType w:val="hybridMultilevel"/>
    <w:tmpl w:val="DBF83B84"/>
    <w:lvl w:ilvl="0" w:tplc="B2B43D12">
      <w:start w:val="1"/>
      <w:numFmt w:val="lowerLetter"/>
      <w:lvlText w:val="(%1)"/>
      <w:lvlJc w:val="left"/>
      <w:pPr>
        <w:ind w:left="502" w:hanging="360"/>
      </w:pPr>
      <w:rPr>
        <w:rFonts w:hint="default"/>
        <w:sz w:val="20"/>
        <w:szCs w:val="20"/>
      </w:rPr>
    </w:lvl>
    <w:lvl w:ilvl="1" w:tplc="FFFFFFFF">
      <w:start w:val="1"/>
      <w:numFmt w:val="bullet"/>
      <w:lvlText w:val="o"/>
      <w:lvlJc w:val="left"/>
      <w:pPr>
        <w:ind w:left="1222" w:hanging="360"/>
      </w:pPr>
      <w:rPr>
        <w:rFonts w:ascii="Courier New" w:hAnsi="Courier New" w:cs="Courier New" w:hint="default"/>
      </w:rPr>
    </w:lvl>
    <w:lvl w:ilvl="2" w:tplc="FFFFFFFF" w:tentative="1">
      <w:start w:val="1"/>
      <w:numFmt w:val="bullet"/>
      <w:lvlText w:val=""/>
      <w:lvlJc w:val="left"/>
      <w:pPr>
        <w:ind w:left="1942" w:hanging="360"/>
      </w:pPr>
      <w:rPr>
        <w:rFonts w:ascii="Wingdings" w:hAnsi="Wingdings" w:hint="default"/>
      </w:rPr>
    </w:lvl>
    <w:lvl w:ilvl="3" w:tplc="FFFFFFFF" w:tentative="1">
      <w:start w:val="1"/>
      <w:numFmt w:val="bullet"/>
      <w:lvlText w:val=""/>
      <w:lvlJc w:val="left"/>
      <w:pPr>
        <w:ind w:left="2662" w:hanging="360"/>
      </w:pPr>
      <w:rPr>
        <w:rFonts w:ascii="Symbol" w:hAnsi="Symbol" w:hint="default"/>
      </w:rPr>
    </w:lvl>
    <w:lvl w:ilvl="4" w:tplc="FFFFFFFF" w:tentative="1">
      <w:start w:val="1"/>
      <w:numFmt w:val="bullet"/>
      <w:lvlText w:val="o"/>
      <w:lvlJc w:val="left"/>
      <w:pPr>
        <w:ind w:left="3382" w:hanging="360"/>
      </w:pPr>
      <w:rPr>
        <w:rFonts w:ascii="Courier New" w:hAnsi="Courier New" w:cs="Courier New" w:hint="default"/>
      </w:rPr>
    </w:lvl>
    <w:lvl w:ilvl="5" w:tplc="FFFFFFFF" w:tentative="1">
      <w:start w:val="1"/>
      <w:numFmt w:val="bullet"/>
      <w:lvlText w:val=""/>
      <w:lvlJc w:val="left"/>
      <w:pPr>
        <w:ind w:left="4102" w:hanging="360"/>
      </w:pPr>
      <w:rPr>
        <w:rFonts w:ascii="Wingdings" w:hAnsi="Wingdings" w:hint="default"/>
      </w:rPr>
    </w:lvl>
    <w:lvl w:ilvl="6" w:tplc="FFFFFFFF" w:tentative="1">
      <w:start w:val="1"/>
      <w:numFmt w:val="bullet"/>
      <w:lvlText w:val=""/>
      <w:lvlJc w:val="left"/>
      <w:pPr>
        <w:ind w:left="4822" w:hanging="360"/>
      </w:pPr>
      <w:rPr>
        <w:rFonts w:ascii="Symbol" w:hAnsi="Symbol" w:hint="default"/>
      </w:rPr>
    </w:lvl>
    <w:lvl w:ilvl="7" w:tplc="FFFFFFFF" w:tentative="1">
      <w:start w:val="1"/>
      <w:numFmt w:val="bullet"/>
      <w:lvlText w:val="o"/>
      <w:lvlJc w:val="left"/>
      <w:pPr>
        <w:ind w:left="5542" w:hanging="360"/>
      </w:pPr>
      <w:rPr>
        <w:rFonts w:ascii="Courier New" w:hAnsi="Courier New" w:cs="Courier New" w:hint="default"/>
      </w:rPr>
    </w:lvl>
    <w:lvl w:ilvl="8" w:tplc="FFFFFFFF" w:tentative="1">
      <w:start w:val="1"/>
      <w:numFmt w:val="bullet"/>
      <w:lvlText w:val=""/>
      <w:lvlJc w:val="left"/>
      <w:pPr>
        <w:ind w:left="6262" w:hanging="360"/>
      </w:pPr>
      <w:rPr>
        <w:rFonts w:ascii="Wingdings" w:hAnsi="Wingdings" w:hint="default"/>
      </w:rPr>
    </w:lvl>
  </w:abstractNum>
  <w:abstractNum w:abstractNumId="4" w15:restartNumberingAfterBreak="0">
    <w:nsid w:val="70FB1BD9"/>
    <w:multiLevelType w:val="hybridMultilevel"/>
    <w:tmpl w:val="DBF83B84"/>
    <w:lvl w:ilvl="0" w:tplc="FFFFFFFF">
      <w:start w:val="1"/>
      <w:numFmt w:val="lowerLetter"/>
      <w:lvlText w:val="(%1)"/>
      <w:lvlJc w:val="left"/>
      <w:pPr>
        <w:ind w:left="502" w:hanging="360"/>
      </w:pPr>
      <w:rPr>
        <w:rFonts w:hint="default"/>
        <w:sz w:val="20"/>
        <w:szCs w:val="20"/>
      </w:rPr>
    </w:lvl>
    <w:lvl w:ilvl="1" w:tplc="FFFFFFFF">
      <w:start w:val="1"/>
      <w:numFmt w:val="bullet"/>
      <w:lvlText w:val="o"/>
      <w:lvlJc w:val="left"/>
      <w:pPr>
        <w:ind w:left="1222" w:hanging="360"/>
      </w:pPr>
      <w:rPr>
        <w:rFonts w:ascii="Courier New" w:hAnsi="Courier New" w:cs="Courier New" w:hint="default"/>
      </w:rPr>
    </w:lvl>
    <w:lvl w:ilvl="2" w:tplc="FFFFFFFF" w:tentative="1">
      <w:start w:val="1"/>
      <w:numFmt w:val="bullet"/>
      <w:lvlText w:val=""/>
      <w:lvlJc w:val="left"/>
      <w:pPr>
        <w:ind w:left="1942" w:hanging="360"/>
      </w:pPr>
      <w:rPr>
        <w:rFonts w:ascii="Wingdings" w:hAnsi="Wingdings" w:hint="default"/>
      </w:rPr>
    </w:lvl>
    <w:lvl w:ilvl="3" w:tplc="FFFFFFFF" w:tentative="1">
      <w:start w:val="1"/>
      <w:numFmt w:val="bullet"/>
      <w:lvlText w:val=""/>
      <w:lvlJc w:val="left"/>
      <w:pPr>
        <w:ind w:left="2662" w:hanging="360"/>
      </w:pPr>
      <w:rPr>
        <w:rFonts w:ascii="Symbol" w:hAnsi="Symbol" w:hint="default"/>
      </w:rPr>
    </w:lvl>
    <w:lvl w:ilvl="4" w:tplc="FFFFFFFF" w:tentative="1">
      <w:start w:val="1"/>
      <w:numFmt w:val="bullet"/>
      <w:lvlText w:val="o"/>
      <w:lvlJc w:val="left"/>
      <w:pPr>
        <w:ind w:left="3382" w:hanging="360"/>
      </w:pPr>
      <w:rPr>
        <w:rFonts w:ascii="Courier New" w:hAnsi="Courier New" w:cs="Courier New" w:hint="default"/>
      </w:rPr>
    </w:lvl>
    <w:lvl w:ilvl="5" w:tplc="FFFFFFFF" w:tentative="1">
      <w:start w:val="1"/>
      <w:numFmt w:val="bullet"/>
      <w:lvlText w:val=""/>
      <w:lvlJc w:val="left"/>
      <w:pPr>
        <w:ind w:left="4102" w:hanging="360"/>
      </w:pPr>
      <w:rPr>
        <w:rFonts w:ascii="Wingdings" w:hAnsi="Wingdings" w:hint="default"/>
      </w:rPr>
    </w:lvl>
    <w:lvl w:ilvl="6" w:tplc="FFFFFFFF" w:tentative="1">
      <w:start w:val="1"/>
      <w:numFmt w:val="bullet"/>
      <w:lvlText w:val=""/>
      <w:lvlJc w:val="left"/>
      <w:pPr>
        <w:ind w:left="4822" w:hanging="360"/>
      </w:pPr>
      <w:rPr>
        <w:rFonts w:ascii="Symbol" w:hAnsi="Symbol" w:hint="default"/>
      </w:rPr>
    </w:lvl>
    <w:lvl w:ilvl="7" w:tplc="FFFFFFFF" w:tentative="1">
      <w:start w:val="1"/>
      <w:numFmt w:val="bullet"/>
      <w:lvlText w:val="o"/>
      <w:lvlJc w:val="left"/>
      <w:pPr>
        <w:ind w:left="5542" w:hanging="360"/>
      </w:pPr>
      <w:rPr>
        <w:rFonts w:ascii="Courier New" w:hAnsi="Courier New" w:cs="Courier New" w:hint="default"/>
      </w:rPr>
    </w:lvl>
    <w:lvl w:ilvl="8" w:tplc="FFFFFFFF" w:tentative="1">
      <w:start w:val="1"/>
      <w:numFmt w:val="bullet"/>
      <w:lvlText w:val=""/>
      <w:lvlJc w:val="left"/>
      <w:pPr>
        <w:ind w:left="6262" w:hanging="360"/>
      </w:pPr>
      <w:rPr>
        <w:rFonts w:ascii="Wingdings" w:hAnsi="Wingdings" w:hint="default"/>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A24"/>
    <w:rsid w:val="0012314F"/>
    <w:rsid w:val="00385068"/>
    <w:rsid w:val="004B1A24"/>
    <w:rsid w:val="00682F8F"/>
    <w:rsid w:val="00A538DD"/>
    <w:rsid w:val="00AB0AC1"/>
    <w:rsid w:val="00C21EB1"/>
    <w:rsid w:val="00CD18E8"/>
    <w:rsid w:val="00D85AD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08D525"/>
  <w15:chartTrackingRefBased/>
  <w15:docId w15:val="{2D070DBD-D4F3-4C73-B949-B35C7AA80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1A24"/>
    <w:pPr>
      <w:spacing w:after="220" w:line="240" w:lineRule="auto"/>
    </w:pPr>
    <w:rPr>
      <w:rFonts w:ascii="Times New Roman" w:eastAsia="Times New Roman" w:hAnsi="Times New Roman" w:cs="Times New Roman"/>
      <w:sz w:val="2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B1A24"/>
    <w:pPr>
      <w:tabs>
        <w:tab w:val="center" w:pos="4678"/>
        <w:tab w:val="right" w:pos="9356"/>
      </w:tabs>
    </w:pPr>
    <w:rPr>
      <w:snapToGrid w:val="0"/>
      <w:szCs w:val="20"/>
    </w:rPr>
  </w:style>
  <w:style w:type="character" w:customStyle="1" w:styleId="HeaderChar">
    <w:name w:val="Header Char"/>
    <w:basedOn w:val="DefaultParagraphFont"/>
    <w:link w:val="Header"/>
    <w:rsid w:val="004B1A24"/>
    <w:rPr>
      <w:rFonts w:ascii="Times New Roman" w:eastAsia="Times New Roman" w:hAnsi="Times New Roman" w:cs="Times New Roman"/>
      <w:snapToGrid w:val="0"/>
      <w:sz w:val="20"/>
      <w:szCs w:val="20"/>
    </w:rPr>
  </w:style>
  <w:style w:type="paragraph" w:styleId="Footer">
    <w:name w:val="footer"/>
    <w:basedOn w:val="Normal"/>
    <w:link w:val="FooterChar"/>
    <w:uiPriority w:val="99"/>
    <w:rsid w:val="004B1A24"/>
    <w:pPr>
      <w:widowControl w:val="0"/>
      <w:tabs>
        <w:tab w:val="center" w:pos="4678"/>
        <w:tab w:val="right" w:pos="9356"/>
      </w:tabs>
    </w:pPr>
    <w:rPr>
      <w:snapToGrid w:val="0"/>
      <w:sz w:val="18"/>
      <w:szCs w:val="20"/>
    </w:rPr>
  </w:style>
  <w:style w:type="character" w:customStyle="1" w:styleId="FooterChar">
    <w:name w:val="Footer Char"/>
    <w:basedOn w:val="DefaultParagraphFont"/>
    <w:link w:val="Footer"/>
    <w:uiPriority w:val="99"/>
    <w:rsid w:val="004B1A24"/>
    <w:rPr>
      <w:rFonts w:ascii="Times New Roman" w:eastAsia="Times New Roman" w:hAnsi="Times New Roman" w:cs="Times New Roman"/>
      <w:snapToGrid w:val="0"/>
      <w:sz w:val="18"/>
      <w:szCs w:val="20"/>
    </w:rPr>
  </w:style>
  <w:style w:type="character" w:styleId="PageNumber">
    <w:name w:val="page number"/>
    <w:semiHidden/>
    <w:rsid w:val="004B1A24"/>
  </w:style>
  <w:style w:type="paragraph" w:customStyle="1" w:styleId="DefenceNormal">
    <w:name w:val="DefenceNormal"/>
    <w:aliases w:val="Normal + 10 pt"/>
    <w:link w:val="DefenceNormalChar"/>
    <w:rsid w:val="004B1A24"/>
    <w:pPr>
      <w:spacing w:after="200" w:line="240" w:lineRule="auto"/>
    </w:pPr>
    <w:rPr>
      <w:rFonts w:ascii="Times New Roman" w:eastAsia="Times New Roman" w:hAnsi="Times New Roman" w:cs="Times New Roman"/>
      <w:sz w:val="20"/>
      <w:szCs w:val="20"/>
    </w:rPr>
  </w:style>
  <w:style w:type="paragraph" w:customStyle="1" w:styleId="DefenceSubTitle">
    <w:name w:val="DefenceSubTitle"/>
    <w:basedOn w:val="Normal"/>
    <w:rsid w:val="004B1A24"/>
    <w:rPr>
      <w:rFonts w:ascii="Arial" w:hAnsi="Arial"/>
      <w:b/>
      <w:szCs w:val="20"/>
    </w:rPr>
  </w:style>
  <w:style w:type="paragraph" w:customStyle="1" w:styleId="DefenceTitle">
    <w:name w:val="DefenceTitle"/>
    <w:rsid w:val="004B1A24"/>
    <w:pPr>
      <w:spacing w:after="240" w:line="240" w:lineRule="auto"/>
      <w:jc w:val="center"/>
    </w:pPr>
    <w:rPr>
      <w:rFonts w:ascii="Arial Bold" w:eastAsia="Times New Roman" w:hAnsi="Arial Bold" w:cs="Arial"/>
      <w:b/>
      <w:bCs/>
      <w:caps/>
      <w:sz w:val="32"/>
      <w:szCs w:val="32"/>
    </w:rPr>
  </w:style>
  <w:style w:type="character" w:customStyle="1" w:styleId="DefenceNormalChar">
    <w:name w:val="DefenceNormal Char"/>
    <w:link w:val="DefenceNormal"/>
    <w:rsid w:val="004B1A24"/>
    <w:rPr>
      <w:rFonts w:ascii="Times New Roman" w:eastAsia="Times New Roman" w:hAnsi="Times New Roman" w:cs="Times New Roman"/>
      <w:sz w:val="20"/>
      <w:szCs w:val="20"/>
    </w:rPr>
  </w:style>
  <w:style w:type="paragraph" w:customStyle="1" w:styleId="CUTable1">
    <w:name w:val="CU_Table1"/>
    <w:basedOn w:val="ListParagraph"/>
    <w:rsid w:val="004B1A24"/>
    <w:pPr>
      <w:numPr>
        <w:numId w:val="1"/>
      </w:numPr>
      <w:tabs>
        <w:tab w:val="num" w:pos="360"/>
      </w:tabs>
      <w:spacing w:after="240"/>
      <w:ind w:left="720" w:hanging="360"/>
      <w:contextualSpacing w:val="0"/>
    </w:pPr>
    <w:rPr>
      <w:rFonts w:ascii="Arial" w:eastAsia="Times" w:hAnsi="Arial"/>
      <w:szCs w:val="22"/>
      <w:lang w:bidi="en-US"/>
    </w:rPr>
  </w:style>
  <w:style w:type="paragraph" w:customStyle="1" w:styleId="CUTable2">
    <w:name w:val="CU_Table2"/>
    <w:basedOn w:val="ListParagraph"/>
    <w:rsid w:val="004B1A24"/>
    <w:pPr>
      <w:numPr>
        <w:ilvl w:val="1"/>
        <w:numId w:val="1"/>
      </w:numPr>
      <w:tabs>
        <w:tab w:val="num" w:pos="360"/>
      </w:tabs>
      <w:spacing w:after="240"/>
      <w:ind w:left="1440" w:hanging="360"/>
      <w:contextualSpacing w:val="0"/>
    </w:pPr>
    <w:rPr>
      <w:rFonts w:ascii="Arial" w:eastAsia="Times" w:hAnsi="Arial"/>
      <w:szCs w:val="22"/>
      <w:lang w:bidi="en-US"/>
    </w:rPr>
  </w:style>
  <w:style w:type="paragraph" w:customStyle="1" w:styleId="CUTable3">
    <w:name w:val="CU_Table3"/>
    <w:basedOn w:val="ListParagraph"/>
    <w:rsid w:val="004B1A24"/>
    <w:pPr>
      <w:numPr>
        <w:ilvl w:val="2"/>
        <w:numId w:val="1"/>
      </w:numPr>
      <w:tabs>
        <w:tab w:val="num" w:pos="360"/>
      </w:tabs>
      <w:spacing w:after="240"/>
      <w:ind w:left="2160" w:hanging="360"/>
      <w:contextualSpacing w:val="0"/>
    </w:pPr>
    <w:rPr>
      <w:rFonts w:ascii="Arial" w:eastAsia="Times" w:hAnsi="Arial"/>
      <w:szCs w:val="22"/>
      <w:lang w:bidi="en-US"/>
    </w:rPr>
  </w:style>
  <w:style w:type="paragraph" w:customStyle="1" w:styleId="CUTable4">
    <w:name w:val="CU_Table4"/>
    <w:basedOn w:val="ListParagraph"/>
    <w:rsid w:val="004B1A24"/>
    <w:pPr>
      <w:numPr>
        <w:ilvl w:val="3"/>
        <w:numId w:val="1"/>
      </w:numPr>
      <w:tabs>
        <w:tab w:val="num" w:pos="360"/>
      </w:tabs>
      <w:spacing w:after="240"/>
      <w:ind w:left="2880" w:hanging="360"/>
      <w:contextualSpacing w:val="0"/>
    </w:pPr>
    <w:rPr>
      <w:rFonts w:ascii="Arial" w:eastAsia="Times" w:hAnsi="Arial"/>
      <w:szCs w:val="22"/>
      <w:lang w:bidi="en-US"/>
    </w:rPr>
  </w:style>
  <w:style w:type="paragraph" w:customStyle="1" w:styleId="CUTable5">
    <w:name w:val="CU_Table5"/>
    <w:basedOn w:val="ListParagraph"/>
    <w:rsid w:val="004B1A24"/>
    <w:pPr>
      <w:numPr>
        <w:ilvl w:val="4"/>
        <w:numId w:val="1"/>
      </w:numPr>
      <w:tabs>
        <w:tab w:val="num" w:pos="360"/>
      </w:tabs>
      <w:spacing w:after="240"/>
      <w:ind w:left="3600" w:hanging="360"/>
      <w:contextualSpacing w:val="0"/>
    </w:pPr>
    <w:rPr>
      <w:rFonts w:ascii="Arial" w:eastAsia="Times" w:hAnsi="Arial"/>
      <w:szCs w:val="22"/>
      <w:lang w:bidi="en-US"/>
    </w:rPr>
  </w:style>
  <w:style w:type="paragraph" w:customStyle="1" w:styleId="Para0">
    <w:name w:val="Para 0"/>
    <w:basedOn w:val="Normal"/>
    <w:qFormat/>
    <w:rsid w:val="004B1A24"/>
    <w:pPr>
      <w:spacing w:before="240" w:after="120" w:line="240" w:lineRule="atLeast"/>
    </w:pPr>
    <w:rPr>
      <w:rFonts w:ascii="Jacobs Chronos" w:hAnsi="Jacobs Chronos" w:cs="Jacobs Chronos"/>
      <w:color w:val="000000"/>
      <w:szCs w:val="20"/>
      <w:lang w:val="en-US"/>
    </w:rPr>
  </w:style>
  <w:style w:type="paragraph" w:styleId="ListParagraph">
    <w:name w:val="List Paragraph"/>
    <w:basedOn w:val="Normal"/>
    <w:uiPriority w:val="34"/>
    <w:qFormat/>
    <w:rsid w:val="004B1A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3</Pages>
  <Words>1470</Words>
  <Characters>8380</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Defence</Company>
  <LinksUpToDate>false</LinksUpToDate>
  <CharactersWithSpaces>9831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Zou, Julia MS</dc:creator>
  <cp:keywords/>
  <dc:description/>
  <cp:lastModifiedBy>Zou, Julia MS</cp:lastModifiedBy>
  <cp:revision>7</cp:revision>
  <dcterms:created xsi:type="dcterms:W3CDTF">2025-03-27T00:40:00Z</dcterms:created>
  <dcterms:modified xsi:type="dcterms:W3CDTF">2025-03-27T03:48:00Z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BS65624030</vt:lpwstr>
  </property>
  <property fmtid="{D5CDD505-2E9C-101B-9397-08002B2CF9AE}" pid="4" name="Objective-Title">
    <vt:lpwstr>DIP-MC - Scope of Works</vt:lpwstr>
  </property>
  <property fmtid="{D5CDD505-2E9C-101B-9397-08002B2CF9AE}" pid="5" name="Objective-Comment">
    <vt:lpwstr/>
  </property>
  <property fmtid="{D5CDD505-2E9C-101B-9397-08002B2CF9AE}" pid="6" name="Objective-CreationStamp">
    <vt:filetime>2025-03-27T00:59:58Z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2025-03-27T03:48:16Z</vt:filetime>
  </property>
  <property fmtid="{D5CDD505-2E9C-101B-9397-08002B2CF9AE}" pid="10" name="Objective-ModificationStamp">
    <vt:filetime>2025-03-31T22:55:21Z</vt:filetime>
  </property>
  <property fmtid="{D5CDD505-2E9C-101B-9397-08002B2CF9AE}" pid="11" name="Objective-Owner">
    <vt:lpwstr>Defence</vt:lpwstr>
  </property>
  <property fmtid="{D5CDD505-2E9C-101B-9397-08002B2CF9AE}" pid="12" name="Objective-Path">
    <vt:lpwstr>Objective Global Folder - PROD:Defence Business Units:Associate Secretary Organisation:Security and Estate Group:Infrastructure Division:ID : Infrastructure Division:07 Business Management:02. Capital Facilities &amp; Infrastructure:02 Directorate of Quality, Assurance and Compliance (DQAC):Panels:03. Construction Panel:Capital Facilities &amp; Infrastructure - Defence Infrastructure Panel - Major Construction - 2025 to 2030  - Advice, Procurement, Reports and Correspondence (Secure Repository):01 Panel Management:04 Engagement Documents &amp; Scope of Works:00 Scope of Works:02 MASTER:</vt:lpwstr>
  </property>
  <property fmtid="{D5CDD505-2E9C-101B-9397-08002B2CF9AE}" pid="13" name="Objective-Parent">
    <vt:lpwstr>02 MASTER</vt:lpwstr>
  </property>
  <property fmtid="{D5CDD505-2E9C-101B-9397-08002B2CF9AE}" pid="14" name="Objective-State">
    <vt:lpwstr>Published</vt:lpwstr>
  </property>
  <property fmtid="{D5CDD505-2E9C-101B-9397-08002B2CF9AE}" pid="15" name="Objective-Version">
    <vt:lpwstr>4.0</vt:lpwstr>
  </property>
  <property fmtid="{D5CDD505-2E9C-101B-9397-08002B2CF9AE}" pid="16" name="Objective-VersionNumber">
    <vt:i4>4</vt:i4>
  </property>
  <property fmtid="{D5CDD505-2E9C-101B-9397-08002B2CF9AE}" pid="17" name="Objective-VersionComment">
    <vt:lpwstr/>
  </property>
  <property fmtid="{D5CDD505-2E9C-101B-9397-08002B2CF9AE}" pid="18" name="Objective-FileNumber">
    <vt:lpwstr>2025/1012191</vt:lpwstr>
  </property>
  <property fmtid="{D5CDD505-2E9C-101B-9397-08002B2CF9AE}" pid="19" name="Objective-Classification">
    <vt:lpwstr>Official</vt:lpwstr>
  </property>
  <property fmtid="{D5CDD505-2E9C-101B-9397-08002B2CF9AE}" pid="20" name="Objective-Caveats">
    <vt:lpwstr/>
  </property>
  <property fmtid="{D5CDD505-2E9C-101B-9397-08002B2CF9AE}" pid="21" name="Objective-Document Type [system]">
    <vt:lpwstr/>
  </property>
  <property fmtid="{D5CDD505-2E9C-101B-9397-08002B2CF9AE}" pid="22" name="Objective-Reason for Security Classification Change [system]">
    <vt:lpwstr/>
  </property>
</Properties>
</file>