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DA6A45" w14:textId="77777777" w:rsidR="000A7229" w:rsidRPr="005F7DEE" w:rsidRDefault="000A7229" w:rsidP="000824CF">
      <w:pPr>
        <w:pStyle w:val="ASDEFCONTitle"/>
      </w:pPr>
      <w:bookmarkStart w:id="0" w:name="_GoBack"/>
      <w:bookmarkEnd w:id="0"/>
      <w:r w:rsidRPr="005F7DEE">
        <w:t>D</w:t>
      </w:r>
      <w:bookmarkStart w:id="1" w:name="_Ref442071221"/>
      <w:bookmarkEnd w:id="1"/>
      <w:r w:rsidRPr="005F7DEE">
        <w:t>ATA ITEM DESCRIPTION</w:t>
      </w:r>
    </w:p>
    <w:p w14:paraId="482B953C" w14:textId="29D2A3B8" w:rsidR="000A7229" w:rsidRPr="005F7DEE" w:rsidRDefault="000E3410" w:rsidP="000824CF">
      <w:pPr>
        <w:pStyle w:val="SOWHL1-ASDEFCON"/>
      </w:pPr>
      <w:bookmarkStart w:id="2" w:name="_Toc515805636"/>
      <w:r w:rsidRPr="005F7DEE">
        <w:t>DID NUMBER</w:t>
      </w:r>
      <w:r w:rsidR="000A7229" w:rsidRPr="005F7DEE">
        <w:t>:</w:t>
      </w:r>
      <w:r w:rsidR="000A7229" w:rsidRPr="005F7DEE">
        <w:tab/>
      </w:r>
      <w:fldSimple w:instr=" TITLE   \* MERGEFORMAT ">
        <w:r w:rsidR="007E5DAF">
          <w:t>DID-PM-TRANS-CTXP</w:t>
        </w:r>
      </w:fldSimple>
      <w:r w:rsidR="001307D8" w:rsidRPr="005F7DEE">
        <w:t>-</w:t>
      </w:r>
      <w:fldSimple w:instr=" DOCPROPERTY Version ">
        <w:r w:rsidR="007E5DAF">
          <w:t>V5.3</w:t>
        </w:r>
      </w:fldSimple>
    </w:p>
    <w:p w14:paraId="4B08F32A" w14:textId="77777777" w:rsidR="000A7229" w:rsidRPr="005F7DEE" w:rsidRDefault="000A7229" w:rsidP="000824CF">
      <w:pPr>
        <w:pStyle w:val="SOWHL1-ASDEFCON"/>
      </w:pPr>
      <w:bookmarkStart w:id="3" w:name="_Toc515805637"/>
      <w:r w:rsidRPr="005F7DEE">
        <w:t>TITLE:</w:t>
      </w:r>
      <w:r w:rsidR="001307D8" w:rsidRPr="005F7DEE">
        <w:tab/>
      </w:r>
      <w:bookmarkEnd w:id="3"/>
      <w:r w:rsidR="001307D8" w:rsidRPr="005F7DEE">
        <w:t>Contractor Transitio</w:t>
      </w:r>
      <w:r w:rsidRPr="005F7DEE">
        <w:t>n Plan</w:t>
      </w:r>
    </w:p>
    <w:p w14:paraId="31658054" w14:textId="77777777" w:rsidR="000A7229" w:rsidRPr="005F7DEE" w:rsidRDefault="000A7229" w:rsidP="000824CF">
      <w:pPr>
        <w:pStyle w:val="SOWHL1-ASDEFCON"/>
      </w:pPr>
      <w:bookmarkStart w:id="4" w:name="_Toc515805639"/>
      <w:r w:rsidRPr="005F7DEE">
        <w:t>DESCRIPTION and intended use</w:t>
      </w:r>
      <w:bookmarkEnd w:id="4"/>
    </w:p>
    <w:p w14:paraId="1DF8E9D7" w14:textId="77777777" w:rsidR="000A7229" w:rsidRPr="005F7DEE" w:rsidRDefault="000A7229" w:rsidP="000824CF">
      <w:pPr>
        <w:pStyle w:val="SOWTL2-ASDEFCON"/>
      </w:pPr>
      <w:bookmarkStart w:id="5" w:name="_Toc515805640"/>
      <w:r w:rsidRPr="005F7DEE">
        <w:t>The Contractor Transition Plan (CTXP) describes the Contractor’s plans, methodologies and processes for meeting the Transition requirements of the Contract, and establishes the ground rules for the trans</w:t>
      </w:r>
      <w:r w:rsidR="00B03206">
        <w:t>fer</w:t>
      </w:r>
      <w:r w:rsidRPr="005F7DEE">
        <w:t xml:space="preserve"> of management responsibilities from the developing organisations (</w:t>
      </w:r>
      <w:proofErr w:type="spellStart"/>
      <w:r w:rsidRPr="005F7DEE">
        <w:t>ie</w:t>
      </w:r>
      <w:proofErr w:type="spellEnd"/>
      <w:r w:rsidRPr="005F7DEE">
        <w:t>, Contractor and Subcontractors) to the respective support organisations.</w:t>
      </w:r>
    </w:p>
    <w:p w14:paraId="712F8FFB" w14:textId="77777777" w:rsidR="000A7229" w:rsidRPr="005F7DEE" w:rsidRDefault="000A7229" w:rsidP="000824CF">
      <w:pPr>
        <w:pStyle w:val="SOWTL2-ASDEFCON"/>
      </w:pPr>
      <w:r w:rsidRPr="005F7DEE">
        <w:t>The Contractor uses the CTXP to:</w:t>
      </w:r>
    </w:p>
    <w:p w14:paraId="48B376D6" w14:textId="77777777" w:rsidR="000A7229" w:rsidRPr="005F7DEE" w:rsidRDefault="000A7229" w:rsidP="000824CF">
      <w:pPr>
        <w:pStyle w:val="SOWSubL1-ASDEFCON"/>
      </w:pPr>
      <w:r w:rsidRPr="005F7DEE">
        <w:t>define, manage and monitor the Contractor’s Transition program;</w:t>
      </w:r>
    </w:p>
    <w:p w14:paraId="27E2C3E3" w14:textId="77777777" w:rsidR="00B22FB1" w:rsidRPr="005F7DEE" w:rsidRDefault="000A7229" w:rsidP="000824CF">
      <w:pPr>
        <w:pStyle w:val="SOWSubL1-ASDEFCON"/>
      </w:pPr>
      <w:r w:rsidRPr="005F7DEE">
        <w:t>ensure that those parties (including Subcontractors) who are undertaking Transition activities understand their respective responsibilities, the processes to be used, and the time-frames involved;</w:t>
      </w:r>
    </w:p>
    <w:p w14:paraId="4181B4A1" w14:textId="40102F42" w:rsidR="000A7229" w:rsidRPr="005F7DEE" w:rsidRDefault="00B22FB1" w:rsidP="000824CF">
      <w:pPr>
        <w:pStyle w:val="SOWSubL1-ASDEFCON"/>
      </w:pPr>
      <w:r w:rsidRPr="005F7DEE">
        <w:t>plan for a</w:t>
      </w:r>
      <w:r w:rsidR="003E1C82" w:rsidRPr="005F7DEE">
        <w:t>nd</w:t>
      </w:r>
      <w:r w:rsidRPr="005F7DEE">
        <w:t xml:space="preserve"> coordinate Transition activities with Associated Parties that will provide support for the Materiel System</w:t>
      </w:r>
      <w:r w:rsidR="00B03206">
        <w:t xml:space="preserve"> </w:t>
      </w:r>
      <w:r w:rsidR="00B03206" w:rsidRPr="005F7DEE">
        <w:t>including</w:t>
      </w:r>
      <w:r w:rsidR="00B03206">
        <w:t>, whe</w:t>
      </w:r>
      <w:r w:rsidR="00897BE0">
        <w:t>n</w:t>
      </w:r>
      <w:r w:rsidR="00B03206">
        <w:t xml:space="preserve"> applicable,</w:t>
      </w:r>
      <w:r w:rsidR="00B03206" w:rsidRPr="005F7DEE">
        <w:t xml:space="preserve"> </w:t>
      </w:r>
      <w:r w:rsidR="00B03206">
        <w:t>the Contractor (Support)</w:t>
      </w:r>
      <w:r w:rsidRPr="005F7DEE">
        <w:t>;</w:t>
      </w:r>
      <w:r w:rsidR="000A7229" w:rsidRPr="005F7DEE">
        <w:t xml:space="preserve"> and</w:t>
      </w:r>
    </w:p>
    <w:p w14:paraId="27FB642C" w14:textId="77777777" w:rsidR="000A7229" w:rsidRPr="005F7DEE" w:rsidRDefault="000A7229" w:rsidP="000824CF">
      <w:pPr>
        <w:pStyle w:val="SOWSubL1-ASDEFCON"/>
      </w:pPr>
      <w:r w:rsidRPr="005F7DEE">
        <w:t>define and establish the Contractor’s involvement in the Commonwealth’s Transition program.</w:t>
      </w:r>
    </w:p>
    <w:p w14:paraId="723EC419" w14:textId="77777777" w:rsidR="000A7229" w:rsidRPr="005F7DEE" w:rsidRDefault="000A7229" w:rsidP="000824CF">
      <w:pPr>
        <w:pStyle w:val="SOWTL2-ASDEFCON"/>
      </w:pPr>
      <w:r w:rsidRPr="005F7DEE">
        <w:t>The Commonwealth uses the CTXP to:</w:t>
      </w:r>
    </w:p>
    <w:p w14:paraId="6CF5E44C" w14:textId="77777777" w:rsidR="000A7229" w:rsidRPr="005F7DEE" w:rsidRDefault="000A7229" w:rsidP="000824CF">
      <w:pPr>
        <w:pStyle w:val="SOWSubL1-ASDEFCON"/>
      </w:pPr>
      <w:r w:rsidRPr="005F7DEE">
        <w:t>understand and evaluate the Contractor’s approach to meeting the Transition requirements of the Contract;</w:t>
      </w:r>
    </w:p>
    <w:p w14:paraId="30442322" w14:textId="77777777" w:rsidR="000A7229" w:rsidRPr="005F7DEE" w:rsidRDefault="000A7229" w:rsidP="000824CF">
      <w:pPr>
        <w:pStyle w:val="SOWSubL1-ASDEFCON"/>
      </w:pPr>
      <w:r w:rsidRPr="005F7DEE">
        <w:t>define and establish the Commonwealth’s involvement in the Contractor’s Transition program, including the monitoring of the Contractor’s program;</w:t>
      </w:r>
    </w:p>
    <w:p w14:paraId="41049C01" w14:textId="77777777" w:rsidR="000A7229" w:rsidRPr="005F7DEE" w:rsidRDefault="000A7229" w:rsidP="000824CF">
      <w:pPr>
        <w:pStyle w:val="SOWSubL1-ASDEFCON"/>
      </w:pPr>
      <w:r w:rsidRPr="005F7DEE">
        <w:t xml:space="preserve">enable the timely provision of information to In-Service </w:t>
      </w:r>
      <w:r w:rsidR="00B03206">
        <w:t>organisations</w:t>
      </w:r>
      <w:r w:rsidR="00B03206" w:rsidRPr="005F7DEE">
        <w:t xml:space="preserve"> </w:t>
      </w:r>
      <w:r w:rsidRPr="005F7DEE">
        <w:t xml:space="preserve">to </w:t>
      </w:r>
      <w:r w:rsidR="00B03206">
        <w:t>allow</w:t>
      </w:r>
      <w:r w:rsidR="00B03206" w:rsidRPr="005F7DEE">
        <w:t xml:space="preserve"> </w:t>
      </w:r>
      <w:r w:rsidRPr="005F7DEE">
        <w:t>them to plan for the delivery of the Mission System and the Support Resources; and</w:t>
      </w:r>
    </w:p>
    <w:p w14:paraId="68E1A53B" w14:textId="77777777" w:rsidR="000A7229" w:rsidRPr="005F7DEE" w:rsidRDefault="000A7229" w:rsidP="000824CF">
      <w:pPr>
        <w:pStyle w:val="SOWSubL1-ASDEFCON"/>
      </w:pPr>
      <w:r w:rsidRPr="005F7DEE">
        <w:t>provide input to the Commonwealth Representative’s own Transition planning.</w:t>
      </w:r>
    </w:p>
    <w:p w14:paraId="338CC497" w14:textId="77777777" w:rsidR="000A7229" w:rsidRPr="005F7DEE" w:rsidRDefault="000A7229" w:rsidP="000824CF">
      <w:pPr>
        <w:pStyle w:val="SOWHL1-ASDEFCON"/>
      </w:pPr>
      <w:r w:rsidRPr="005F7DEE">
        <w:t>INTER-RELATIONSHIPS</w:t>
      </w:r>
      <w:bookmarkEnd w:id="5"/>
    </w:p>
    <w:p w14:paraId="3A5EADDF" w14:textId="77777777" w:rsidR="00A440DC" w:rsidRPr="005F7DEE" w:rsidRDefault="000A7229" w:rsidP="000824CF">
      <w:pPr>
        <w:pStyle w:val="SOWTL2-ASDEFCON"/>
      </w:pPr>
      <w:r w:rsidRPr="005F7DEE">
        <w:t xml:space="preserve">The CTXP is subordinate to the </w:t>
      </w:r>
      <w:r w:rsidR="00A440DC" w:rsidRPr="005F7DEE">
        <w:t>following data items, where these data items are required under the Contract:</w:t>
      </w:r>
    </w:p>
    <w:p w14:paraId="5D4115C2" w14:textId="77777777" w:rsidR="000A7229" w:rsidRPr="005F7DEE" w:rsidRDefault="000A7229" w:rsidP="000824CF">
      <w:pPr>
        <w:pStyle w:val="SOWSubL1-ASDEFCON"/>
      </w:pPr>
      <w:r w:rsidRPr="005F7DEE">
        <w:t>Project Management Plan (PMP).</w:t>
      </w:r>
    </w:p>
    <w:p w14:paraId="24EC93D6" w14:textId="77777777" w:rsidR="00A440DC" w:rsidRPr="005F7DEE" w:rsidRDefault="00A440DC" w:rsidP="000824CF">
      <w:pPr>
        <w:pStyle w:val="SOWTL2-ASDEFCON"/>
      </w:pPr>
      <w:r w:rsidRPr="005F7DEE">
        <w:t>The CTXP inter-relates with the following data items, where these data items are required under the Contract:</w:t>
      </w:r>
    </w:p>
    <w:p w14:paraId="22F042D9" w14:textId="77777777" w:rsidR="000824CF" w:rsidRDefault="000824CF" w:rsidP="000824CF">
      <w:pPr>
        <w:pStyle w:val="SOWSubL1-ASDEFCON"/>
      </w:pPr>
      <w:r>
        <w:t>Australian Industry Capability (AIC) Plan;</w:t>
      </w:r>
    </w:p>
    <w:p w14:paraId="76414AF5" w14:textId="77777777" w:rsidR="000824CF" w:rsidRDefault="000824CF" w:rsidP="000824CF">
      <w:pPr>
        <w:pStyle w:val="SOWSubL1-ASDEFCON"/>
      </w:pPr>
      <w:r>
        <w:t>other applicable AIC-related plans (</w:t>
      </w:r>
      <w:proofErr w:type="spellStart"/>
      <w:r>
        <w:t>eg</w:t>
      </w:r>
      <w:proofErr w:type="spellEnd"/>
      <w:r>
        <w:t>, Supply Chain Management Plan (SCMP) and Defence-Required Australian Industry Capability (DRAIC) Plan (DRAICP));</w:t>
      </w:r>
    </w:p>
    <w:p w14:paraId="41E587D3" w14:textId="77777777" w:rsidR="00B22FB1" w:rsidRDefault="00B22FB1" w:rsidP="000824CF">
      <w:pPr>
        <w:pStyle w:val="SOWSubL1-ASDEFCON"/>
      </w:pPr>
      <w:r w:rsidRPr="005F7DEE">
        <w:t>System Review Plan (SRP);</w:t>
      </w:r>
    </w:p>
    <w:p w14:paraId="1D987602" w14:textId="77777777" w:rsidR="00B03206" w:rsidRDefault="00B03206" w:rsidP="000824CF">
      <w:pPr>
        <w:pStyle w:val="SOWSubL1-ASDEFCON"/>
      </w:pPr>
      <w:r>
        <w:t>Verification and Validation Plan (V&amp;VP);</w:t>
      </w:r>
    </w:p>
    <w:p w14:paraId="7CF3E1B8" w14:textId="77777777" w:rsidR="00842A83" w:rsidRPr="005F7DEE" w:rsidRDefault="00842A83" w:rsidP="000824CF">
      <w:pPr>
        <w:pStyle w:val="SOWSubL1-ASDEFCON"/>
      </w:pPr>
      <w:r>
        <w:t>Contract Master Schedule (CMS);</w:t>
      </w:r>
    </w:p>
    <w:p w14:paraId="33275C7C" w14:textId="77777777" w:rsidR="00A440DC" w:rsidRPr="005F7DEE" w:rsidRDefault="00A440DC" w:rsidP="000824CF">
      <w:pPr>
        <w:pStyle w:val="SOWSubL1-ASDEFCON"/>
      </w:pPr>
      <w:r w:rsidRPr="005F7DEE">
        <w:t>Support System Description (SSDESC);</w:t>
      </w:r>
    </w:p>
    <w:p w14:paraId="0813D8A4" w14:textId="7F780103" w:rsidR="004B19C5" w:rsidRDefault="00A27AFF" w:rsidP="000824CF">
      <w:pPr>
        <w:pStyle w:val="SOWSubL1-ASDEFCON"/>
      </w:pPr>
      <w:r>
        <w:t xml:space="preserve">Support System </w:t>
      </w:r>
      <w:r w:rsidR="004B19C5">
        <w:t>Technical Data List (</w:t>
      </w:r>
      <w:r w:rsidR="007716EE">
        <w:t>S</w:t>
      </w:r>
      <w:r>
        <w:t>S</w:t>
      </w:r>
      <w:r w:rsidR="004B19C5">
        <w:t>TDL);</w:t>
      </w:r>
    </w:p>
    <w:p w14:paraId="7C6ACC03" w14:textId="77777777" w:rsidR="00A27AFF" w:rsidRPr="005F7DEE" w:rsidRDefault="00A27AFF" w:rsidP="000824CF">
      <w:pPr>
        <w:pStyle w:val="SOWSubL1-ASDEFCON"/>
      </w:pPr>
      <w:r>
        <w:t>Australia and New Zealand (ANZ) Subcontractor Technical Data List (ASTDL);</w:t>
      </w:r>
    </w:p>
    <w:p w14:paraId="28219763" w14:textId="77777777" w:rsidR="00A440DC" w:rsidRPr="005F7DEE" w:rsidRDefault="00A440DC" w:rsidP="000824CF">
      <w:pPr>
        <w:pStyle w:val="SOWSubL1-ASDEFCON"/>
      </w:pPr>
      <w:r w:rsidRPr="005F7DEE">
        <w:t>Recommended Spares Provisioning List (RSPL);</w:t>
      </w:r>
    </w:p>
    <w:p w14:paraId="2BB97407" w14:textId="77777777" w:rsidR="00A440DC" w:rsidRPr="005F7DEE" w:rsidRDefault="00A440DC" w:rsidP="000824CF">
      <w:pPr>
        <w:pStyle w:val="SOWSubL1-ASDEFCON"/>
      </w:pPr>
      <w:r w:rsidRPr="005F7DEE">
        <w:t>Packaging Provisioning List (PACKPL);</w:t>
      </w:r>
    </w:p>
    <w:p w14:paraId="04A4F9D4" w14:textId="77777777" w:rsidR="00A440DC" w:rsidRPr="005F7DEE" w:rsidRDefault="00A440DC" w:rsidP="000824CF">
      <w:pPr>
        <w:pStyle w:val="SOWSubL1-ASDEFCON"/>
      </w:pPr>
      <w:r w:rsidRPr="005F7DEE">
        <w:lastRenderedPageBreak/>
        <w:t>Support and Test Equipment (S&amp;TE) Provisioning List (S&amp;TEPL);</w:t>
      </w:r>
      <w:r w:rsidR="00B03206">
        <w:t xml:space="preserve"> </w:t>
      </w:r>
      <w:r w:rsidRPr="005F7DEE">
        <w:t>and</w:t>
      </w:r>
    </w:p>
    <w:p w14:paraId="4810DFDB" w14:textId="77777777" w:rsidR="00A440DC" w:rsidRPr="005F7DEE" w:rsidRDefault="00A440DC" w:rsidP="000824CF">
      <w:pPr>
        <w:pStyle w:val="SOWSubL1-ASDEFCON"/>
      </w:pPr>
      <w:r w:rsidRPr="005F7DEE">
        <w:t>Training Equipment List (TEL).</w:t>
      </w:r>
    </w:p>
    <w:p w14:paraId="4A68A3FB" w14:textId="77777777" w:rsidR="00B22FB1" w:rsidRPr="005F7DEE" w:rsidRDefault="003E1C82" w:rsidP="000824CF">
      <w:pPr>
        <w:pStyle w:val="SOWTL2-ASDEFCON"/>
      </w:pPr>
      <w:bookmarkStart w:id="6" w:name="_Toc515805641"/>
      <w:r w:rsidRPr="005F7DEE">
        <w:t>When</w:t>
      </w:r>
      <w:r w:rsidR="00B22FB1" w:rsidRPr="005F7DEE">
        <w:t xml:space="preserve"> this Contract is linked to a Contract (Support), the CTXP inter-relates with the Contract (Support) Phase In Plan (PHIP) and Ramp Up Management Plan (RUMP).</w:t>
      </w:r>
    </w:p>
    <w:p w14:paraId="2B67C2B4" w14:textId="77777777" w:rsidR="000A7229" w:rsidRPr="005F7DEE" w:rsidRDefault="000A7229" w:rsidP="000824CF">
      <w:pPr>
        <w:pStyle w:val="SOWHL1-ASDEFCON"/>
      </w:pPr>
      <w:r w:rsidRPr="005F7DEE">
        <w:t>Applicable Documents</w:t>
      </w:r>
    </w:p>
    <w:p w14:paraId="46A54A28" w14:textId="77777777" w:rsidR="000A7229" w:rsidRPr="005F7DEE" w:rsidRDefault="000A7229" w:rsidP="000824CF">
      <w:pPr>
        <w:pStyle w:val="SOWTL2-ASDEFCON"/>
      </w:pPr>
      <w:r w:rsidRPr="005F7DEE">
        <w:t>The following document forms a part of this DID</w:t>
      </w:r>
      <w:r w:rsidR="000E3410" w:rsidRPr="005F7DEE">
        <w:t xml:space="preserve"> to the extent specified herein:</w:t>
      </w:r>
    </w:p>
    <w:tbl>
      <w:tblPr>
        <w:tblW w:w="0" w:type="auto"/>
        <w:tblInd w:w="1276" w:type="dxa"/>
        <w:tblLayout w:type="fixed"/>
        <w:tblLook w:val="0000" w:firstRow="0" w:lastRow="0" w:firstColumn="0" w:lastColumn="0" w:noHBand="0" w:noVBand="0"/>
      </w:tblPr>
      <w:tblGrid>
        <w:gridCol w:w="2693"/>
        <w:gridCol w:w="5209"/>
      </w:tblGrid>
      <w:tr w:rsidR="000A7229" w:rsidRPr="005F7DEE" w14:paraId="4025FD70" w14:textId="77777777">
        <w:tc>
          <w:tcPr>
            <w:tcW w:w="2693" w:type="dxa"/>
          </w:tcPr>
          <w:p w14:paraId="4E1AC768" w14:textId="77777777" w:rsidR="000A7229" w:rsidRPr="005F7DEE" w:rsidRDefault="000A7229" w:rsidP="000824CF">
            <w:pPr>
              <w:pStyle w:val="Table10ptText-ASDEFCON"/>
            </w:pPr>
            <w:r w:rsidRPr="005F7DEE">
              <w:t>DI-IPSC-81429A</w:t>
            </w:r>
          </w:p>
        </w:tc>
        <w:tc>
          <w:tcPr>
            <w:tcW w:w="5209" w:type="dxa"/>
          </w:tcPr>
          <w:p w14:paraId="7460C9AE" w14:textId="77777777" w:rsidR="000A7229" w:rsidRPr="000F1A55" w:rsidRDefault="000A7229" w:rsidP="000824CF">
            <w:pPr>
              <w:pStyle w:val="Table10ptText-ASDEFCON"/>
            </w:pPr>
            <w:r w:rsidRPr="00FB3D04">
              <w:t>Software Transition Plan</w:t>
            </w:r>
            <w:r w:rsidRPr="000F1A55">
              <w:t xml:space="preserve"> </w:t>
            </w:r>
            <w:r w:rsidRPr="00B57CC3">
              <w:t>(</w:t>
            </w:r>
            <w:proofErr w:type="spellStart"/>
            <w:r w:rsidRPr="00B57CC3">
              <w:t>STrP</w:t>
            </w:r>
            <w:proofErr w:type="spellEnd"/>
            <w:r w:rsidRPr="00B57CC3">
              <w:t>)</w:t>
            </w:r>
          </w:p>
        </w:tc>
      </w:tr>
    </w:tbl>
    <w:p w14:paraId="0C789AD1" w14:textId="77777777" w:rsidR="000A7229" w:rsidRPr="005F7DEE" w:rsidRDefault="000A7229" w:rsidP="000824CF">
      <w:pPr>
        <w:pStyle w:val="SOWHL1-ASDEFCON"/>
      </w:pPr>
      <w:r w:rsidRPr="005F7DEE">
        <w:t>Preparation Instructions</w:t>
      </w:r>
      <w:bookmarkEnd w:id="6"/>
    </w:p>
    <w:p w14:paraId="09D7F156" w14:textId="77777777" w:rsidR="000A7229" w:rsidRPr="005F7DEE" w:rsidRDefault="000A7229" w:rsidP="000824CF">
      <w:pPr>
        <w:pStyle w:val="SOWHL2-ASDEFCON"/>
      </w:pPr>
      <w:r w:rsidRPr="005F7DEE">
        <w:t>Generic Format and Content</w:t>
      </w:r>
    </w:p>
    <w:p w14:paraId="3C522691" w14:textId="77777777" w:rsidR="000A7229" w:rsidRPr="005F7DEE" w:rsidRDefault="000A7229" w:rsidP="000824CF">
      <w:pPr>
        <w:pStyle w:val="SOWTL3-ASDEFCON"/>
      </w:pPr>
      <w:r w:rsidRPr="005F7DEE">
        <w:t xml:space="preserve">The data item shall comply with the general format, content and preparation instructions contained in the CDRL clause entitled </w:t>
      </w:r>
      <w:r w:rsidR="00C47283">
        <w:t>‘</w:t>
      </w:r>
      <w:r w:rsidRPr="005F7DEE">
        <w:t>General Requirements for Data Items</w:t>
      </w:r>
      <w:r w:rsidR="00C47283">
        <w:t>’</w:t>
      </w:r>
      <w:r w:rsidRPr="005F7DEE">
        <w:t>.</w:t>
      </w:r>
    </w:p>
    <w:p w14:paraId="369E569A" w14:textId="77777777" w:rsidR="006F347D" w:rsidRDefault="006F347D" w:rsidP="000824CF">
      <w:pPr>
        <w:pStyle w:val="SOWTL3-ASDEFCON"/>
      </w:pPr>
      <w:r>
        <w:t>When the Contract has specified delivery of another data item that contains aspects of the required information, the CTXP shall summarise these aspects and refer to the other data item.</w:t>
      </w:r>
    </w:p>
    <w:p w14:paraId="736D282F" w14:textId="77777777" w:rsidR="00291FA8" w:rsidRPr="005F7DEE" w:rsidRDefault="00291FA8" w:rsidP="000824CF">
      <w:pPr>
        <w:pStyle w:val="SOWTL3-ASDEFCON"/>
      </w:pPr>
      <w:r w:rsidRPr="005F7DEE">
        <w:t>The data item shall include a traceability matrix that defines how each specific content requirement, as contained in this DID, is addressed by sections within the data item.</w:t>
      </w:r>
    </w:p>
    <w:p w14:paraId="3DAB95E6" w14:textId="77777777" w:rsidR="000A7229" w:rsidRPr="005F7DEE" w:rsidRDefault="000A7229" w:rsidP="000824CF">
      <w:pPr>
        <w:pStyle w:val="SOWHL2-ASDEFCON"/>
      </w:pPr>
      <w:r w:rsidRPr="005F7DEE">
        <w:t>Specific Content</w:t>
      </w:r>
    </w:p>
    <w:bookmarkEnd w:id="2"/>
    <w:p w14:paraId="7AA27816" w14:textId="77777777" w:rsidR="000A7229" w:rsidRPr="005F7DEE" w:rsidRDefault="000A7229" w:rsidP="000824CF">
      <w:pPr>
        <w:pStyle w:val="SOWHL3-ASDEFCON"/>
      </w:pPr>
      <w:r w:rsidRPr="005F7DEE">
        <w:t>General</w:t>
      </w:r>
    </w:p>
    <w:p w14:paraId="45E5D489" w14:textId="77777777" w:rsidR="000A7229" w:rsidRPr="005F7DEE" w:rsidRDefault="000A7229" w:rsidP="000824CF">
      <w:pPr>
        <w:pStyle w:val="SOWTL4-ASDEFCON"/>
      </w:pPr>
      <w:r w:rsidRPr="005F7DEE">
        <w:t>The CTXP shall describe the objectives, scope, constraints, and assumptions associated with the Contractor’s (and Subcontractor’s) Transition activities.  Any risks associated with the Contractor’s Transition program shall be documented in the Risk Register; however, the CTXP shall describe the risk</w:t>
      </w:r>
      <w:r w:rsidR="0048158A">
        <w:t xml:space="preserve"> </w:t>
      </w:r>
      <w:r w:rsidRPr="005F7DEE">
        <w:t>management strategies associated with any global, Transition-related risks.</w:t>
      </w:r>
    </w:p>
    <w:p w14:paraId="1D175F04" w14:textId="77777777" w:rsidR="000A7229" w:rsidRPr="005F7DEE" w:rsidRDefault="000A7229" w:rsidP="000824CF">
      <w:pPr>
        <w:pStyle w:val="SOWHL3-ASDEFCON"/>
      </w:pPr>
      <w:r w:rsidRPr="005F7DEE">
        <w:t>Transition Organisation</w:t>
      </w:r>
    </w:p>
    <w:p w14:paraId="24A4EEBA" w14:textId="77777777" w:rsidR="000A7229" w:rsidRPr="005F7DEE" w:rsidRDefault="000A7229" w:rsidP="000824CF">
      <w:pPr>
        <w:pStyle w:val="SOWTL4-ASDEFCON"/>
      </w:pPr>
      <w:r w:rsidRPr="005F7DEE">
        <w:t>If different from that described in the PMP, the CTXP shall describe the Contractor’s organisational arrangements for Transition, including:</w:t>
      </w:r>
    </w:p>
    <w:p w14:paraId="666719FA" w14:textId="77777777" w:rsidR="000A7229" w:rsidRPr="005F7DEE" w:rsidRDefault="000A7229" w:rsidP="000824CF">
      <w:pPr>
        <w:pStyle w:val="SOWSubL1-ASDEFCON"/>
      </w:pPr>
      <w:r w:rsidRPr="005F7DEE">
        <w:t>the Contractor’s and Approved Subcontractor’s organisations and management structures, showing how the</w:t>
      </w:r>
      <w:r w:rsidR="0048158A">
        <w:t>se</w:t>
      </w:r>
      <w:r w:rsidRPr="005F7DEE">
        <w:t xml:space="preserve"> arrangements integrate into </w:t>
      </w:r>
      <w:r w:rsidR="0048158A">
        <w:t xml:space="preserve">the </w:t>
      </w:r>
      <w:r w:rsidRPr="005F7DEE">
        <w:t>higher-level management structures and organisations</w:t>
      </w:r>
      <w:r w:rsidR="0048158A">
        <w:t xml:space="preserve"> for the Contract</w:t>
      </w:r>
      <w:r w:rsidRPr="005F7DEE">
        <w:t>;</w:t>
      </w:r>
    </w:p>
    <w:p w14:paraId="1C5C85CE" w14:textId="77777777" w:rsidR="000A7229" w:rsidRPr="005F7DEE" w:rsidRDefault="000A7229" w:rsidP="000824CF">
      <w:pPr>
        <w:pStyle w:val="SOWSubL1-ASDEFCON"/>
      </w:pPr>
      <w:r w:rsidRPr="005F7DEE">
        <w:t>the interrelationships and lines of authority between all parties involved in the Contractor’s Transition activities; and</w:t>
      </w:r>
    </w:p>
    <w:p w14:paraId="2485FE96" w14:textId="77777777" w:rsidR="000A7229" w:rsidRPr="005F7DEE" w:rsidRDefault="000A7229" w:rsidP="000824CF">
      <w:pPr>
        <w:pStyle w:val="SOWSubL1-ASDEFCON"/>
      </w:pPr>
      <w:r w:rsidRPr="005F7DEE">
        <w:t>the responsibilities of all parties involved in the Contractor’s Transition activities, including the identification of the individual who will have managerial responsibility and accountability for meeting the Transition requirements of the Contract.</w:t>
      </w:r>
    </w:p>
    <w:p w14:paraId="438496A9" w14:textId="77777777" w:rsidR="000A7229" w:rsidRPr="005F7DEE" w:rsidRDefault="000A7229" w:rsidP="000824CF">
      <w:pPr>
        <w:pStyle w:val="SOWHL3-ASDEFCON"/>
      </w:pPr>
      <w:r w:rsidRPr="005F7DEE">
        <w:t>Transition Overview</w:t>
      </w:r>
    </w:p>
    <w:p w14:paraId="5094A6E3" w14:textId="77777777" w:rsidR="000A7229" w:rsidRPr="005F7DEE" w:rsidRDefault="000A7229" w:rsidP="000824CF">
      <w:pPr>
        <w:pStyle w:val="SOWTL4-ASDEFCON"/>
      </w:pPr>
      <w:r w:rsidRPr="005F7DEE">
        <w:t xml:space="preserve">The CTXP shall provide an overview of the Contractor’s program of activities for transitioning from a development </w:t>
      </w:r>
      <w:r w:rsidR="00B03206">
        <w:t xml:space="preserve">and production </w:t>
      </w:r>
      <w:r w:rsidRPr="005F7DEE">
        <w:t>environment to a support environment for the Supplies, including:</w:t>
      </w:r>
    </w:p>
    <w:p w14:paraId="71D335F8" w14:textId="77777777" w:rsidR="000A7229" w:rsidRPr="005F7DEE" w:rsidRDefault="000A7229" w:rsidP="000824CF">
      <w:pPr>
        <w:pStyle w:val="SOWSubL1-ASDEFCON"/>
      </w:pPr>
      <w:r w:rsidRPr="005F7DEE">
        <w:t>the major activities to be undertaken, when, and by whom;</w:t>
      </w:r>
    </w:p>
    <w:p w14:paraId="4ECA4D53" w14:textId="77777777" w:rsidR="000A7229" w:rsidRDefault="000A7229" w:rsidP="000824CF">
      <w:pPr>
        <w:pStyle w:val="SOWSubL1-ASDEFCON"/>
      </w:pPr>
      <w:r w:rsidRPr="005F7DEE">
        <w:t>the integration of Subcontractors into the Contractor’s Transition activities;</w:t>
      </w:r>
    </w:p>
    <w:p w14:paraId="42054816" w14:textId="77777777" w:rsidR="00B03206" w:rsidRPr="005F7DEE" w:rsidRDefault="00B03206" w:rsidP="000824CF">
      <w:pPr>
        <w:pStyle w:val="SOWSubL1-ASDEFCON"/>
      </w:pPr>
      <w:r w:rsidRPr="005F7DEE">
        <w:t>significant activities of the Transition Working Group (TXWG)</w:t>
      </w:r>
      <w:r>
        <w:t>;</w:t>
      </w:r>
    </w:p>
    <w:p w14:paraId="5FAB5326" w14:textId="77777777" w:rsidR="000A7229" w:rsidRPr="005F7DEE" w:rsidRDefault="000A7229" w:rsidP="000824CF">
      <w:pPr>
        <w:pStyle w:val="SOWSubL1-ASDEFCON"/>
      </w:pPr>
      <w:r w:rsidRPr="005F7DEE">
        <w:t>the interfaces between the Transition activities and the Systems Engineering</w:t>
      </w:r>
      <w:r w:rsidR="00E30347">
        <w:t>, Verification and Validation,</w:t>
      </w:r>
      <w:r w:rsidRPr="005F7DEE">
        <w:t xml:space="preserve"> and Integrated Logistics Support programs;</w:t>
      </w:r>
    </w:p>
    <w:p w14:paraId="4AA1CCDE" w14:textId="77777777" w:rsidR="000A7229" w:rsidRPr="005F7DEE" w:rsidRDefault="000A7229" w:rsidP="000824CF">
      <w:pPr>
        <w:pStyle w:val="SOWSubL1-ASDEFCON"/>
      </w:pPr>
      <w:r w:rsidRPr="005F7DEE">
        <w:t>the processes to be employed by the Contractor for undertaking Transition and, if applicable, ramping up to provid</w:t>
      </w:r>
      <w:r w:rsidR="00842A83">
        <w:t>e</w:t>
      </w:r>
      <w:r w:rsidRPr="005F7DEE">
        <w:t xml:space="preserve"> support under the Contract (Support);</w:t>
      </w:r>
    </w:p>
    <w:p w14:paraId="3C3D485A" w14:textId="77777777" w:rsidR="00B03206" w:rsidRPr="005F7DEE" w:rsidRDefault="00B03206" w:rsidP="000824CF">
      <w:pPr>
        <w:pStyle w:val="SOWSubL1-ASDEFCON"/>
      </w:pPr>
      <w:r w:rsidRPr="005F7DEE">
        <w:lastRenderedPageBreak/>
        <w:t>for any new or modified procedures for Transition, an overview of the scope of the new or modified procedures and the responsibilities and timeframes for developing and approving these procedures;</w:t>
      </w:r>
    </w:p>
    <w:p w14:paraId="160D6729" w14:textId="77777777" w:rsidR="00B22FB1" w:rsidRPr="005F7DEE" w:rsidRDefault="00D337F2" w:rsidP="000824CF">
      <w:pPr>
        <w:pStyle w:val="SOWSubL1-ASDEFCON"/>
      </w:pPr>
      <w:r w:rsidRPr="005F7DEE">
        <w:t xml:space="preserve">if applicable, </w:t>
      </w:r>
      <w:r w:rsidR="00B22FB1" w:rsidRPr="005F7DEE">
        <w:t xml:space="preserve">the Transition activities </w:t>
      </w:r>
      <w:r w:rsidR="00204C02" w:rsidRPr="005F7DEE">
        <w:t xml:space="preserve">required to coordinate </w:t>
      </w:r>
      <w:r w:rsidR="00B22FB1" w:rsidRPr="005F7DEE">
        <w:t>with the Phase In and Ramp Up activities of the Contractor (Suppor</w:t>
      </w:r>
      <w:r w:rsidR="00204C02" w:rsidRPr="005F7DEE">
        <w:t>t) and Subcontractors (Support)</w:t>
      </w:r>
      <w:r w:rsidR="00B22FB1" w:rsidRPr="005F7DEE">
        <w:t>;</w:t>
      </w:r>
    </w:p>
    <w:p w14:paraId="1B3B47CB" w14:textId="77777777" w:rsidR="000A7229" w:rsidRPr="005F7DEE" w:rsidRDefault="000A7229" w:rsidP="000824CF">
      <w:pPr>
        <w:pStyle w:val="SOWSubL1-ASDEFCON"/>
      </w:pPr>
      <w:r w:rsidRPr="005F7DEE">
        <w:t>the expectations of the Contractor with respect to the Commonwealth;</w:t>
      </w:r>
    </w:p>
    <w:p w14:paraId="4C3DFD8E" w14:textId="77777777" w:rsidR="000A7229" w:rsidRPr="005F7DEE" w:rsidRDefault="000A7229" w:rsidP="000824CF">
      <w:pPr>
        <w:pStyle w:val="SOWSubL1-ASDEFCON"/>
      </w:pPr>
      <w:r w:rsidRPr="005F7DEE">
        <w:t>the proposed role of the Contractor in assisting the Commonwealth in integrating the Support Resources into the existing Commonwealth infrastructure; and</w:t>
      </w:r>
    </w:p>
    <w:p w14:paraId="0134FD04" w14:textId="77777777" w:rsidR="000A7229" w:rsidRPr="005F7DEE" w:rsidRDefault="000A7229" w:rsidP="000824CF">
      <w:pPr>
        <w:pStyle w:val="SOWSubL1-ASDEFCON"/>
      </w:pPr>
      <w:r w:rsidRPr="005F7DEE">
        <w:t>the Contractor’s proposed methodology for ensuring that the activities of the Contractor and the Commonwealth are coordinated, including proposed planning and coordination meetings.</w:t>
      </w:r>
    </w:p>
    <w:p w14:paraId="68DB406B" w14:textId="77777777" w:rsidR="000A7229" w:rsidRPr="005F7DEE" w:rsidRDefault="000A7229" w:rsidP="000824CF">
      <w:pPr>
        <w:pStyle w:val="SOWHL3-ASDEFCON"/>
      </w:pPr>
      <w:r w:rsidRPr="005F7DEE">
        <w:t>Support Responsibilities</w:t>
      </w:r>
    </w:p>
    <w:p w14:paraId="3E432B07" w14:textId="77777777" w:rsidR="000A7229" w:rsidRPr="005F7DEE" w:rsidRDefault="000A7229" w:rsidP="000824CF">
      <w:pPr>
        <w:pStyle w:val="SOWTL4-ASDEFCON"/>
      </w:pPr>
      <w:bookmarkStart w:id="7" w:name="_Ref523641430"/>
      <w:r w:rsidRPr="005F7DEE">
        <w:t>The CTXP shall identify:</w:t>
      </w:r>
      <w:bookmarkEnd w:id="7"/>
    </w:p>
    <w:p w14:paraId="31D68EE6" w14:textId="493AFED1" w:rsidR="000A7229" w:rsidRPr="005F7DEE" w:rsidRDefault="000A7229" w:rsidP="000824CF">
      <w:pPr>
        <w:pStyle w:val="SOWSubL1-ASDEFCON"/>
      </w:pPr>
      <w:bookmarkStart w:id="8" w:name="_Ref523641419"/>
      <w:r w:rsidRPr="005F7DEE">
        <w:t xml:space="preserve">each subsystem or component of the Mission System and Support System </w:t>
      </w:r>
      <w:r w:rsidR="009A34C5">
        <w:t>Component</w:t>
      </w:r>
      <w:r w:rsidR="003A06E1">
        <w:t>,</w:t>
      </w:r>
      <w:r w:rsidR="009A34C5">
        <w:t xml:space="preserve"> </w:t>
      </w:r>
      <w:r w:rsidRPr="005F7DEE">
        <w:t xml:space="preserve">that </w:t>
      </w:r>
      <w:r w:rsidR="00CD3381">
        <w:t>is</w:t>
      </w:r>
      <w:r w:rsidR="00CD3381" w:rsidRPr="005F7DEE">
        <w:t xml:space="preserve"> </w:t>
      </w:r>
      <w:r w:rsidRPr="005F7DEE">
        <w:t>to be supported;</w:t>
      </w:r>
      <w:bookmarkEnd w:id="8"/>
    </w:p>
    <w:p w14:paraId="0F34E1DA" w14:textId="52CF4319" w:rsidR="00943B7B" w:rsidRDefault="000A7229" w:rsidP="000824CF">
      <w:pPr>
        <w:pStyle w:val="SOWSubL1-ASDEFCON"/>
      </w:pPr>
      <w:r w:rsidRPr="005F7DEE">
        <w:t xml:space="preserve">the organisations </w:t>
      </w:r>
      <w:r w:rsidR="0018475F">
        <w:t>and the</w:t>
      </w:r>
      <w:r w:rsidR="00CD3381">
        <w:t>ir</w:t>
      </w:r>
      <w:r w:rsidRPr="005F7DEE">
        <w:t xml:space="preserve"> support responsibilities for each of the subsystems and components identified </w:t>
      </w:r>
      <w:r w:rsidR="00CD3381">
        <w:t>under</w:t>
      </w:r>
      <w:r w:rsidRPr="005F7DEE">
        <w:t xml:space="preserve"> clause </w:t>
      </w:r>
      <w:r w:rsidRPr="005F7DEE">
        <w:fldChar w:fldCharType="begin"/>
      </w:r>
      <w:r w:rsidRPr="005F7DEE">
        <w:instrText xml:space="preserve"> REF _Ref523641419 \w \h </w:instrText>
      </w:r>
      <w:r w:rsidRPr="005F7DEE">
        <w:fldChar w:fldCharType="separate"/>
      </w:r>
      <w:r w:rsidR="007E5DAF">
        <w:t>6.2.4.1a</w:t>
      </w:r>
      <w:r w:rsidRPr="005F7DEE">
        <w:fldChar w:fldCharType="end"/>
      </w:r>
      <w:r w:rsidRPr="005F7DEE">
        <w:t>, including responsibilities for engineering support, maintenance support, supply support and training support</w:t>
      </w:r>
      <w:r w:rsidR="00943B7B">
        <w:t>; and</w:t>
      </w:r>
    </w:p>
    <w:p w14:paraId="7AC928EE" w14:textId="70C2B6D2" w:rsidR="000A7229" w:rsidRPr="005F7DEE" w:rsidRDefault="00943B7B" w:rsidP="0033636C">
      <w:pPr>
        <w:pStyle w:val="SOWSubL1-ASDEFCON"/>
      </w:pPr>
      <w:r>
        <w:t xml:space="preserve">the </w:t>
      </w:r>
      <w:r w:rsidR="0033636C">
        <w:t xml:space="preserve">sustainment-related </w:t>
      </w:r>
      <w:r>
        <w:t xml:space="preserve">DRAICs and other </w:t>
      </w:r>
      <w:r w:rsidR="00DE0101">
        <w:t>Industry Capabilities identified as</w:t>
      </w:r>
      <w:r>
        <w:t xml:space="preserve"> Australian Industry Activities (AIAs)</w:t>
      </w:r>
      <w:r w:rsidR="0033636C">
        <w:t>, which have</w:t>
      </w:r>
      <w:r w:rsidR="000824CF">
        <w:t xml:space="preserve"> </w:t>
      </w:r>
      <w:r w:rsidR="0033636C">
        <w:t>been created (in whole or in part), enhanced or maintained within Australian Entities under the Contract, including</w:t>
      </w:r>
      <w:r w:rsidR="000477E1">
        <w:t xml:space="preserve"> their relationship to </w:t>
      </w:r>
      <w:r w:rsidR="000477E1" w:rsidRPr="005F7DEE">
        <w:t xml:space="preserve">the </w:t>
      </w:r>
      <w:r w:rsidR="000477E1">
        <w:t xml:space="preserve">support of the </w:t>
      </w:r>
      <w:r w:rsidR="000477E1" w:rsidRPr="005F7DEE">
        <w:t xml:space="preserve">subsystems and components identified </w:t>
      </w:r>
      <w:r w:rsidR="000477E1">
        <w:t>under</w:t>
      </w:r>
      <w:r w:rsidR="000477E1" w:rsidRPr="005F7DEE">
        <w:t xml:space="preserve"> clause </w:t>
      </w:r>
      <w:r w:rsidR="000477E1" w:rsidRPr="005F7DEE">
        <w:fldChar w:fldCharType="begin"/>
      </w:r>
      <w:r w:rsidR="000477E1" w:rsidRPr="005F7DEE">
        <w:instrText xml:space="preserve"> REF _Ref523641419 \w \h </w:instrText>
      </w:r>
      <w:r w:rsidR="000477E1" w:rsidRPr="005F7DEE">
        <w:fldChar w:fldCharType="separate"/>
      </w:r>
      <w:r w:rsidR="007E5DAF">
        <w:t>6.2.4.1a</w:t>
      </w:r>
      <w:r w:rsidR="000477E1" w:rsidRPr="005F7DEE">
        <w:fldChar w:fldCharType="end"/>
      </w:r>
      <w:r w:rsidR="000A7229" w:rsidRPr="005F7DEE">
        <w:t>.</w:t>
      </w:r>
    </w:p>
    <w:p w14:paraId="12343045" w14:textId="261FBF7D" w:rsidR="000A7229" w:rsidRDefault="000A7229" w:rsidP="000824CF">
      <w:pPr>
        <w:pStyle w:val="SOWTL4-ASDEFCON"/>
      </w:pPr>
      <w:r w:rsidRPr="005F7DEE">
        <w:t>Th</w:t>
      </w:r>
      <w:r w:rsidR="004F1613" w:rsidRPr="005F7DEE">
        <w:t>e</w:t>
      </w:r>
      <w:r w:rsidRPr="005F7DEE">
        <w:t xml:space="preserve"> information </w:t>
      </w:r>
      <w:r w:rsidR="004F1613" w:rsidRPr="005F7DEE">
        <w:t xml:space="preserve">required by clause </w:t>
      </w:r>
      <w:r w:rsidR="004F1613" w:rsidRPr="005F7DEE">
        <w:fldChar w:fldCharType="begin"/>
      </w:r>
      <w:r w:rsidR="004F1613" w:rsidRPr="005F7DEE">
        <w:instrText xml:space="preserve"> REF _Ref523641430 \r \h </w:instrText>
      </w:r>
      <w:r w:rsidR="004F1613" w:rsidRPr="005F7DEE">
        <w:fldChar w:fldCharType="separate"/>
      </w:r>
      <w:r w:rsidR="007E5DAF">
        <w:t>6.2.4.1</w:t>
      </w:r>
      <w:r w:rsidR="004F1613" w:rsidRPr="005F7DEE">
        <w:fldChar w:fldCharType="end"/>
      </w:r>
      <w:r w:rsidR="004F1613" w:rsidRPr="005F7DEE">
        <w:t xml:space="preserve"> </w:t>
      </w:r>
      <w:r w:rsidRPr="005F7DEE">
        <w:t>may be provided as an annex to the CTXP.</w:t>
      </w:r>
    </w:p>
    <w:p w14:paraId="772C79A4" w14:textId="5554BD54" w:rsidR="00F2637A" w:rsidRDefault="00F2637A" w:rsidP="000824CF">
      <w:pPr>
        <w:pStyle w:val="SOWTL4-ASDEFCON"/>
      </w:pPr>
      <w:r w:rsidRPr="005F7DEE">
        <w:t xml:space="preserve">The </w:t>
      </w:r>
      <w:r>
        <w:t>identification of components</w:t>
      </w:r>
      <w:r w:rsidRPr="005F7DEE">
        <w:t xml:space="preserve"> </w:t>
      </w:r>
      <w:r>
        <w:t>under</w:t>
      </w:r>
      <w:r w:rsidRPr="005F7DEE">
        <w:t xml:space="preserve"> clause </w:t>
      </w:r>
      <w:r w:rsidRPr="005F7DEE">
        <w:fldChar w:fldCharType="begin"/>
      </w:r>
      <w:r w:rsidRPr="005F7DEE">
        <w:instrText xml:space="preserve"> REF _Ref523641430 \r \h </w:instrText>
      </w:r>
      <w:r w:rsidRPr="005F7DEE">
        <w:fldChar w:fldCharType="separate"/>
      </w:r>
      <w:r w:rsidR="007E5DAF">
        <w:t>6.2.4.1</w:t>
      </w:r>
      <w:r w:rsidRPr="005F7DEE">
        <w:fldChar w:fldCharType="end"/>
      </w:r>
      <w:r>
        <w:t>a</w:t>
      </w:r>
      <w:r w:rsidRPr="005F7DEE">
        <w:t xml:space="preserve"> </w:t>
      </w:r>
      <w:r>
        <w:t xml:space="preserve">needs </w:t>
      </w:r>
      <w:r w:rsidR="00E30347">
        <w:t>sufficient</w:t>
      </w:r>
      <w:r>
        <w:t xml:space="preserve"> detail to </w:t>
      </w:r>
      <w:r w:rsidR="00E30347">
        <w:t xml:space="preserve">allow </w:t>
      </w:r>
      <w:r>
        <w:t xml:space="preserve">each unique set of support responsibilities </w:t>
      </w:r>
      <w:r w:rsidR="00E30347">
        <w:t xml:space="preserve">to be identified </w:t>
      </w:r>
      <w:r>
        <w:t xml:space="preserve">in response to </w:t>
      </w:r>
      <w:r w:rsidR="00E30347">
        <w:t xml:space="preserve">clause </w:t>
      </w:r>
      <w:r w:rsidRPr="005F7DEE">
        <w:fldChar w:fldCharType="begin"/>
      </w:r>
      <w:r w:rsidRPr="005F7DEE">
        <w:instrText xml:space="preserve"> REF _Ref523641430 \r \h </w:instrText>
      </w:r>
      <w:r w:rsidRPr="005F7DEE">
        <w:fldChar w:fldCharType="separate"/>
      </w:r>
      <w:r w:rsidR="007E5DAF">
        <w:t>6.2.4.1</w:t>
      </w:r>
      <w:r w:rsidRPr="005F7DEE">
        <w:fldChar w:fldCharType="end"/>
      </w:r>
      <w:r>
        <w:t>b.</w:t>
      </w:r>
    </w:p>
    <w:p w14:paraId="004379B9" w14:textId="77777777" w:rsidR="000A7229" w:rsidRPr="005F7DEE" w:rsidRDefault="000A7229" w:rsidP="000824CF">
      <w:pPr>
        <w:pStyle w:val="SOWHL3-ASDEFCON"/>
      </w:pPr>
      <w:r w:rsidRPr="005F7DEE">
        <w:t>Detailed Transition Activities</w:t>
      </w:r>
    </w:p>
    <w:p w14:paraId="37A16C79" w14:textId="4DA7771B" w:rsidR="000A7229" w:rsidRPr="005F7DEE" w:rsidRDefault="000A7229" w:rsidP="000824CF">
      <w:pPr>
        <w:pStyle w:val="SOWTL4-ASDEFCON"/>
      </w:pPr>
      <w:bookmarkStart w:id="9" w:name="_Ref439924732"/>
      <w:r w:rsidRPr="005F7DEE">
        <w:t xml:space="preserve">Using the information derived </w:t>
      </w:r>
      <w:r w:rsidR="00D7591C" w:rsidRPr="005F7DEE">
        <w:t>for</w:t>
      </w:r>
      <w:r w:rsidRPr="005F7DEE">
        <w:t xml:space="preserve"> clause</w:t>
      </w:r>
      <w:r w:rsidR="00D7591C" w:rsidRPr="005F7DEE">
        <w:t xml:space="preserve"> </w:t>
      </w:r>
      <w:r w:rsidR="00D7591C" w:rsidRPr="005F7DEE">
        <w:fldChar w:fldCharType="begin"/>
      </w:r>
      <w:r w:rsidR="00D7591C" w:rsidRPr="005F7DEE">
        <w:instrText xml:space="preserve"> REF _Ref523641430 \r \h </w:instrText>
      </w:r>
      <w:r w:rsidR="00D7591C" w:rsidRPr="005F7DEE">
        <w:fldChar w:fldCharType="separate"/>
      </w:r>
      <w:r w:rsidR="007E5DAF">
        <w:t>6.2.4.1</w:t>
      </w:r>
      <w:r w:rsidR="00D7591C" w:rsidRPr="005F7DEE">
        <w:fldChar w:fldCharType="end"/>
      </w:r>
      <w:r w:rsidRPr="005F7DEE">
        <w:t xml:space="preserve">, the CTXP shall detail the Contractor’s and Subcontractors’ specific activities associated with transitioning from a development </w:t>
      </w:r>
      <w:r w:rsidR="0089159D">
        <w:t xml:space="preserve">and production </w:t>
      </w:r>
      <w:r w:rsidRPr="005F7DEE">
        <w:t>environment to a support environment for the Supplies, specifically addressing the Contractor’s methodology and timeframes for implementing appropriate:</w:t>
      </w:r>
      <w:bookmarkEnd w:id="9"/>
    </w:p>
    <w:p w14:paraId="46CB35A0" w14:textId="77777777" w:rsidR="000A7229" w:rsidRPr="005F7DEE" w:rsidRDefault="00842A83" w:rsidP="000824CF">
      <w:pPr>
        <w:pStyle w:val="SOWSubL1-ASDEFCON"/>
      </w:pPr>
      <w:r w:rsidRPr="005F7DEE">
        <w:t>engineering</w:t>
      </w:r>
      <w:r>
        <w:t xml:space="preserve"> </w:t>
      </w:r>
      <w:r w:rsidR="000A7229" w:rsidRPr="005F7DEE">
        <w:t>support arrangements, including data management and configuration management;</w:t>
      </w:r>
    </w:p>
    <w:p w14:paraId="7CD510EA" w14:textId="77777777" w:rsidR="000A7229" w:rsidRPr="005F7DEE" w:rsidRDefault="000A7229" w:rsidP="000824CF">
      <w:pPr>
        <w:pStyle w:val="SOWSubL1-ASDEFCON"/>
      </w:pPr>
      <w:r w:rsidRPr="005F7DEE">
        <w:t>maintenance-support arrangements;</w:t>
      </w:r>
    </w:p>
    <w:p w14:paraId="14F6E064" w14:textId="77777777" w:rsidR="000A7229" w:rsidRPr="005F7DEE" w:rsidRDefault="000A7229" w:rsidP="000824CF">
      <w:pPr>
        <w:pStyle w:val="SOWSubL1-ASDEFCON"/>
      </w:pPr>
      <w:r w:rsidRPr="005F7DEE">
        <w:t>supply-support arrangements;</w:t>
      </w:r>
    </w:p>
    <w:p w14:paraId="5E0B07B6" w14:textId="77777777" w:rsidR="000A7229" w:rsidRPr="005F7DEE" w:rsidRDefault="000A7229" w:rsidP="000824CF">
      <w:pPr>
        <w:pStyle w:val="SOWSubL1-ASDEFCON"/>
      </w:pPr>
      <w:r w:rsidRPr="005F7DEE">
        <w:t>training and training-support arrangements; and</w:t>
      </w:r>
    </w:p>
    <w:p w14:paraId="6833B179" w14:textId="77777777" w:rsidR="000A7229" w:rsidRPr="005F7DEE" w:rsidRDefault="000A7229" w:rsidP="000824CF">
      <w:pPr>
        <w:pStyle w:val="SOWSubL1-ASDEFCON"/>
      </w:pPr>
      <w:r w:rsidRPr="005F7DEE">
        <w:t>subcontract arrangements.</w:t>
      </w:r>
    </w:p>
    <w:p w14:paraId="222C5F6D" w14:textId="44C69BCC" w:rsidR="000A7229" w:rsidRPr="005F7DEE" w:rsidRDefault="000A7229" w:rsidP="000824CF">
      <w:pPr>
        <w:pStyle w:val="SOWTL4-ASDEFCON"/>
      </w:pPr>
      <w:r w:rsidRPr="005F7DEE">
        <w:t>In addressing the requirements of clause</w:t>
      </w:r>
      <w:r w:rsidR="00204C02" w:rsidRPr="005F7DEE">
        <w:t xml:space="preserve"> </w:t>
      </w:r>
      <w:r w:rsidR="00204C02" w:rsidRPr="005F7DEE">
        <w:fldChar w:fldCharType="begin"/>
      </w:r>
      <w:r w:rsidR="00204C02" w:rsidRPr="005F7DEE">
        <w:instrText xml:space="preserve"> REF _Ref439924732 \r \h </w:instrText>
      </w:r>
      <w:r w:rsidR="00204C02" w:rsidRPr="005F7DEE">
        <w:fldChar w:fldCharType="separate"/>
      </w:r>
      <w:r w:rsidR="007E5DAF">
        <w:t>6.2.5.1</w:t>
      </w:r>
      <w:r w:rsidR="00204C02" w:rsidRPr="005F7DEE">
        <w:fldChar w:fldCharType="end"/>
      </w:r>
      <w:r w:rsidRPr="005F7DEE">
        <w:t>, the CTXP shall address:</w:t>
      </w:r>
    </w:p>
    <w:p w14:paraId="1B55A4BA" w14:textId="77777777" w:rsidR="000A7229" w:rsidRPr="005F7DEE" w:rsidRDefault="000A7229" w:rsidP="000824CF">
      <w:pPr>
        <w:pStyle w:val="SOWSubL1-ASDEFCON"/>
      </w:pPr>
      <w:r w:rsidRPr="005F7DEE">
        <w:t xml:space="preserve">the implementation schedule (with this schedule to be </w:t>
      </w:r>
      <w:r w:rsidR="00842A83">
        <w:t>included within</w:t>
      </w:r>
      <w:r w:rsidR="00842A83" w:rsidRPr="005F7DEE">
        <w:t xml:space="preserve"> </w:t>
      </w:r>
      <w:r w:rsidRPr="005F7DEE">
        <w:t>the CMS);</w:t>
      </w:r>
    </w:p>
    <w:p w14:paraId="3F9D3C07" w14:textId="39954ACB" w:rsidR="000A7229" w:rsidRPr="005F7DEE" w:rsidRDefault="000A7229" w:rsidP="000824CF">
      <w:pPr>
        <w:pStyle w:val="SOWSubL1-ASDEFCON"/>
      </w:pPr>
      <w:r w:rsidRPr="005F7DEE">
        <w:t xml:space="preserve">planning and coordination </w:t>
      </w:r>
      <w:r w:rsidR="00DB1995" w:rsidRPr="005F7DEE">
        <w:t xml:space="preserve">of significant </w:t>
      </w:r>
      <w:r w:rsidRPr="005F7DEE">
        <w:t>meetings</w:t>
      </w:r>
      <w:r w:rsidR="00DB1995" w:rsidRPr="005F7DEE">
        <w:t xml:space="preserve"> and reviews including, whe</w:t>
      </w:r>
      <w:r w:rsidR="00897BE0">
        <w:t>n</w:t>
      </w:r>
      <w:r w:rsidR="00DB1995" w:rsidRPr="005F7DEE">
        <w:t xml:space="preserve"> required </w:t>
      </w:r>
      <w:r w:rsidR="00C47283">
        <w:t>under</w:t>
      </w:r>
      <w:r w:rsidR="00DB1995" w:rsidRPr="005F7DEE">
        <w:t xml:space="preserve"> the Contract:</w:t>
      </w:r>
    </w:p>
    <w:p w14:paraId="0E14A4D3" w14:textId="154A317A" w:rsidR="00665035" w:rsidRPr="005F7DEE" w:rsidRDefault="007463CE" w:rsidP="000824CF">
      <w:pPr>
        <w:pStyle w:val="SOWSubL2-ASDEFCON"/>
      </w:pPr>
      <w:r w:rsidRPr="005F7DEE">
        <w:t xml:space="preserve">the </w:t>
      </w:r>
      <w:r w:rsidR="00665035" w:rsidRPr="005F7DEE">
        <w:t>meetings of the TXWG including</w:t>
      </w:r>
      <w:r w:rsidR="00D337F2">
        <w:t xml:space="preserve">, </w:t>
      </w:r>
      <w:r w:rsidR="00897BE0">
        <w:t>if</w:t>
      </w:r>
      <w:r w:rsidR="00D337F2" w:rsidRPr="005F7DEE">
        <w:t xml:space="preserve"> applicable,</w:t>
      </w:r>
      <w:r w:rsidR="00665035" w:rsidRPr="005F7DEE">
        <w:t xml:space="preserve"> </w:t>
      </w:r>
      <w:r w:rsidR="0090275E" w:rsidRPr="005F7DEE">
        <w:t xml:space="preserve">the </w:t>
      </w:r>
      <w:r w:rsidR="00665035" w:rsidRPr="005F7DEE">
        <w:t xml:space="preserve">involvement </w:t>
      </w:r>
      <w:r w:rsidR="00DB1995" w:rsidRPr="005F7DEE">
        <w:t xml:space="preserve">of the Contractor (Support) </w:t>
      </w:r>
      <w:r w:rsidR="00665035" w:rsidRPr="005F7DEE">
        <w:t xml:space="preserve">in </w:t>
      </w:r>
      <w:r w:rsidR="00DB1995" w:rsidRPr="005F7DEE">
        <w:t xml:space="preserve">applicable </w:t>
      </w:r>
      <w:r w:rsidR="00665035" w:rsidRPr="005F7DEE">
        <w:t>Mandated System Reviews;</w:t>
      </w:r>
      <w:r w:rsidR="00DB1995" w:rsidRPr="005F7DEE">
        <w:t xml:space="preserve"> and</w:t>
      </w:r>
    </w:p>
    <w:p w14:paraId="4903E2AE" w14:textId="77777777" w:rsidR="00665035" w:rsidRPr="005F7DEE" w:rsidRDefault="00665035" w:rsidP="000824CF">
      <w:pPr>
        <w:pStyle w:val="SOWSubL2-ASDEFCON"/>
      </w:pPr>
      <w:r w:rsidRPr="005F7DEE">
        <w:t>the conduct of the Transition Requirements Review (TXRR);</w:t>
      </w:r>
    </w:p>
    <w:p w14:paraId="351C179C" w14:textId="77777777" w:rsidR="000A7229" w:rsidRPr="005F7DEE" w:rsidRDefault="000A7229" w:rsidP="000824CF">
      <w:pPr>
        <w:pStyle w:val="SOWSubL1-ASDEFCON"/>
      </w:pPr>
      <w:r w:rsidRPr="005F7DEE">
        <w:t xml:space="preserve">the personnel </w:t>
      </w:r>
      <w:r w:rsidR="00D7591C" w:rsidRPr="005F7DEE">
        <w:t>requirements for</w:t>
      </w:r>
      <w:r w:rsidRPr="005F7DEE">
        <w:t xml:space="preserve"> both the Contractor and Subcontractors to enable the implementation schedule to be met, including:</w:t>
      </w:r>
    </w:p>
    <w:p w14:paraId="11C292D1" w14:textId="77777777" w:rsidR="000A7229" w:rsidRPr="005F7DEE" w:rsidRDefault="000A7229" w:rsidP="000824CF">
      <w:pPr>
        <w:pStyle w:val="SOWSubL2-ASDEFCON"/>
      </w:pPr>
      <w:r w:rsidRPr="005F7DEE">
        <w:t>the source from which these personnel will be provided</w:t>
      </w:r>
      <w:r w:rsidR="00805748" w:rsidRPr="005F7DEE">
        <w:t>;</w:t>
      </w:r>
      <w:r w:rsidRPr="005F7DEE">
        <w:t xml:space="preserve"> and</w:t>
      </w:r>
    </w:p>
    <w:p w14:paraId="708718EA" w14:textId="77777777" w:rsidR="000A7229" w:rsidRPr="005F7DEE" w:rsidRDefault="000A7229" w:rsidP="000824CF">
      <w:pPr>
        <w:pStyle w:val="SOWSubL2-ASDEFCON"/>
      </w:pPr>
      <w:r w:rsidRPr="005F7DEE">
        <w:lastRenderedPageBreak/>
        <w:t xml:space="preserve">the training to be provided to </w:t>
      </w:r>
      <w:r w:rsidR="00660809">
        <w:t xml:space="preserve">enable </w:t>
      </w:r>
      <w:r w:rsidRPr="005F7DEE">
        <w:t>these personnel to undertake their responsibilities during Transition and</w:t>
      </w:r>
      <w:r w:rsidR="00D337F2" w:rsidRPr="005F7DEE">
        <w:t>, if applicable,</w:t>
      </w:r>
      <w:r w:rsidRPr="005F7DEE">
        <w:t xml:space="preserve"> the Contract (Support);</w:t>
      </w:r>
    </w:p>
    <w:p w14:paraId="09D3C3AB" w14:textId="77777777" w:rsidR="000A7229" w:rsidRPr="005F7DEE" w:rsidRDefault="000A7229" w:rsidP="000824CF">
      <w:pPr>
        <w:pStyle w:val="SOWSubL1-ASDEFCON"/>
      </w:pPr>
      <w:r w:rsidRPr="005F7DEE">
        <w:t xml:space="preserve">the </w:t>
      </w:r>
      <w:r w:rsidR="00443AAD">
        <w:t>F</w:t>
      </w:r>
      <w:r w:rsidR="00842A83" w:rsidRPr="005F7DEE">
        <w:t>acilities</w:t>
      </w:r>
      <w:r w:rsidRPr="005F7DEE">
        <w:t xml:space="preserve">, S&amp;TE, and computer-support requirements needed by both the Contractor and Subcontractors to </w:t>
      </w:r>
      <w:r w:rsidR="00D7591C" w:rsidRPr="005F7DEE">
        <w:t xml:space="preserve">facilitate </w:t>
      </w:r>
      <w:r w:rsidRPr="005F7DEE">
        <w:t xml:space="preserve">the </w:t>
      </w:r>
      <w:r w:rsidR="0090275E" w:rsidRPr="005F7DEE">
        <w:t xml:space="preserve">transfer of </w:t>
      </w:r>
      <w:r w:rsidRPr="005F7DEE">
        <w:t>Supplies, if not otherwise identified under the Contract;</w:t>
      </w:r>
    </w:p>
    <w:p w14:paraId="1C0637F0" w14:textId="65FD754C" w:rsidR="00842A83" w:rsidRDefault="00897BE0" w:rsidP="000824CF">
      <w:pPr>
        <w:pStyle w:val="SOWSubL1-ASDEFCON"/>
      </w:pPr>
      <w:r>
        <w:t>if</w:t>
      </w:r>
      <w:r w:rsidR="00D337F2">
        <w:t xml:space="preserve"> </w:t>
      </w:r>
      <w:r w:rsidR="00D337F2" w:rsidRPr="005F7DEE">
        <w:t xml:space="preserve">applicable, </w:t>
      </w:r>
      <w:r w:rsidR="00DB1995" w:rsidRPr="005F7DEE">
        <w:t xml:space="preserve">how the Contractor will coordinate with the Contractor (Support) for the development of </w:t>
      </w:r>
      <w:r w:rsidR="000A7229" w:rsidRPr="005F7DEE">
        <w:t xml:space="preserve">the procedures to be employed by the Contractor (Support) and Subcontractors (Support) </w:t>
      </w:r>
      <w:r w:rsidR="00DB1995" w:rsidRPr="005F7DEE">
        <w:t>to enable Transition</w:t>
      </w:r>
      <w:r w:rsidR="00842A83">
        <w:t>; and</w:t>
      </w:r>
    </w:p>
    <w:p w14:paraId="359CAA3C" w14:textId="77777777" w:rsidR="000A7229" w:rsidRPr="005F7DEE" w:rsidRDefault="00842A83" w:rsidP="000824CF">
      <w:pPr>
        <w:pStyle w:val="SOWSubL1-ASDEFCON"/>
      </w:pPr>
      <w:r>
        <w:t>any further Transition</w:t>
      </w:r>
      <w:r w:rsidR="00E30347">
        <w:t>-related</w:t>
      </w:r>
      <w:r>
        <w:t xml:space="preserve"> activities required to enable close out of the Contract</w:t>
      </w:r>
      <w:r w:rsidR="000A7229" w:rsidRPr="005F7DEE">
        <w:t>.</w:t>
      </w:r>
    </w:p>
    <w:p w14:paraId="563B948A" w14:textId="77777777" w:rsidR="000A7229" w:rsidRPr="005F7DEE" w:rsidRDefault="000A7229" w:rsidP="000824CF">
      <w:pPr>
        <w:pStyle w:val="SOWTL4-ASDEFCON"/>
      </w:pPr>
      <w:r w:rsidRPr="005F7DEE">
        <w:t xml:space="preserve">In addressing the Transition activities associated with </w:t>
      </w:r>
      <w:r w:rsidR="00660809">
        <w:t>S</w:t>
      </w:r>
      <w:r w:rsidRPr="005F7DEE">
        <w:t>oftware, the CTXP shall address the requirements of paragraphs 3</w:t>
      </w:r>
      <w:r w:rsidRPr="005F7DEE">
        <w:noBreakHyphen/>
        <w:t>8 of DI</w:t>
      </w:r>
      <w:r w:rsidRPr="005F7DEE">
        <w:noBreakHyphen/>
        <w:t>IPSC-81429A.</w:t>
      </w:r>
    </w:p>
    <w:p w14:paraId="46BE5CAE" w14:textId="77777777" w:rsidR="000A7229" w:rsidRPr="005F7DEE" w:rsidRDefault="000A7229" w:rsidP="000824CF">
      <w:pPr>
        <w:pStyle w:val="SOWTL4-ASDEFCON"/>
      </w:pPr>
      <w:r w:rsidRPr="005F7DEE">
        <w:t>The CTXP shall describe, explicitly or by reference to another document (including any database) that has been delivered to the Commonwealth:</w:t>
      </w:r>
    </w:p>
    <w:p w14:paraId="0FF6644B" w14:textId="77777777" w:rsidR="000A7229" w:rsidRPr="005F7DEE" w:rsidRDefault="000A7229" w:rsidP="000824CF">
      <w:pPr>
        <w:pStyle w:val="SOWSubL1-ASDEFCON"/>
      </w:pPr>
      <w:r w:rsidRPr="005F7DEE">
        <w:t xml:space="preserve">the items </w:t>
      </w:r>
      <w:r w:rsidR="00270AA9">
        <w:t xml:space="preserve">(such as Support Resources, including Technical Data) </w:t>
      </w:r>
      <w:r w:rsidRPr="005F7DEE">
        <w:t>to be delivered to the respective support organisations and the proposed recipients;</w:t>
      </w:r>
    </w:p>
    <w:p w14:paraId="7A7245FE" w14:textId="77777777" w:rsidR="00943B7B" w:rsidRDefault="000A7229" w:rsidP="000824CF">
      <w:pPr>
        <w:pStyle w:val="SOWSubL1-ASDEFCON"/>
      </w:pPr>
      <w:r w:rsidRPr="005F7DEE">
        <w:t>the delivery, installation and checkout of the support environments being implemented by each of the respective support organisations (</w:t>
      </w:r>
      <w:proofErr w:type="spellStart"/>
      <w:r w:rsidRPr="005F7DEE">
        <w:t>ie</w:t>
      </w:r>
      <w:proofErr w:type="spellEnd"/>
      <w:r w:rsidRPr="005F7DEE">
        <w:t>, Commonwealth, Contractor, Subcontractors, Contractor (Support) and Subcontractors (Support), as applicable, in accordance with the Contract and the Contract (Support));</w:t>
      </w:r>
    </w:p>
    <w:p w14:paraId="0CF41CAF" w14:textId="4955E040" w:rsidR="000A7229" w:rsidRPr="005F7DEE" w:rsidRDefault="00943B7B" w:rsidP="00AF7B3B">
      <w:pPr>
        <w:pStyle w:val="SOWSubL1-ASDEFCON"/>
      </w:pPr>
      <w:r>
        <w:t xml:space="preserve">the </w:t>
      </w:r>
      <w:r w:rsidR="00DE7126">
        <w:t>T</w:t>
      </w:r>
      <w:r w:rsidR="0033636C">
        <w:t xml:space="preserve">ransition of the sustainment-related </w:t>
      </w:r>
      <w:r>
        <w:t>DRAICs and other applicable AIAs</w:t>
      </w:r>
      <w:r w:rsidR="00AF7B3B" w:rsidRPr="00AF7B3B">
        <w:t xml:space="preserve"> </w:t>
      </w:r>
      <w:r w:rsidR="00AF7B3B">
        <w:t>(including any that have a dual acquisition and sustainment function) as part of establishing the</w:t>
      </w:r>
      <w:r w:rsidR="00AF7B3B" w:rsidRPr="005F7DEE">
        <w:t xml:space="preserve"> support environment for the Supplies</w:t>
      </w:r>
      <w:r w:rsidR="00AF7B3B">
        <w:t xml:space="preserve">, including any DRAICs or other AIAs that were only partially implemented under the Contract and </w:t>
      </w:r>
      <w:r w:rsidR="00AF7B3B" w:rsidRPr="00AF7B3B">
        <w:t xml:space="preserve">for which the </w:t>
      </w:r>
      <w:r w:rsidR="00DE7126">
        <w:t xml:space="preserve">full </w:t>
      </w:r>
      <w:r w:rsidR="00AF7B3B" w:rsidRPr="00AF7B3B">
        <w:t xml:space="preserve">implementation </w:t>
      </w:r>
      <w:r w:rsidR="00AF7B3B">
        <w:t>is planned to</w:t>
      </w:r>
      <w:r w:rsidR="00AF7B3B" w:rsidRPr="00AF7B3B">
        <w:t xml:space="preserve"> </w:t>
      </w:r>
      <w:r w:rsidR="00DE7126">
        <w:t>occur</w:t>
      </w:r>
      <w:r w:rsidR="00AF7B3B" w:rsidRPr="00AF7B3B">
        <w:t xml:space="preserve"> under the Contract (Support)</w:t>
      </w:r>
      <w:r>
        <w:t>;</w:t>
      </w:r>
      <w:r w:rsidR="000A7229" w:rsidRPr="005F7DEE">
        <w:t xml:space="preserve"> and</w:t>
      </w:r>
    </w:p>
    <w:p w14:paraId="0BFD1F59" w14:textId="77777777" w:rsidR="000A7229" w:rsidRPr="005F7DEE" w:rsidRDefault="000A7229" w:rsidP="000824CF">
      <w:pPr>
        <w:pStyle w:val="SOWSubL1-ASDEFCON"/>
      </w:pPr>
      <w:r w:rsidRPr="005F7DEE">
        <w:t xml:space="preserve">the timeframes in which Commonwealth personnel will be required by the Contractor </w:t>
      </w:r>
      <w:r w:rsidR="006604B7">
        <w:t>(</w:t>
      </w:r>
      <w:proofErr w:type="spellStart"/>
      <w:r w:rsidR="006604B7">
        <w:t>eg</w:t>
      </w:r>
      <w:proofErr w:type="spellEnd"/>
      <w:r w:rsidR="006604B7">
        <w:t xml:space="preserve">, for Training) </w:t>
      </w:r>
      <w:r w:rsidRPr="005F7DEE">
        <w:t xml:space="preserve">to enable the Contractor to successfully </w:t>
      </w:r>
      <w:r w:rsidR="00660809">
        <w:t>T</w:t>
      </w:r>
      <w:r w:rsidRPr="005F7DEE">
        <w:t xml:space="preserve">ransition the Mission System and </w:t>
      </w:r>
      <w:r w:rsidR="00660809">
        <w:t>other Supplies</w:t>
      </w:r>
      <w:r w:rsidRPr="005F7DEE">
        <w:t xml:space="preserve"> to the Commonwealth.</w:t>
      </w:r>
    </w:p>
    <w:p w14:paraId="08A84E89" w14:textId="77777777" w:rsidR="00E30347" w:rsidRDefault="00E30347" w:rsidP="000824CF">
      <w:pPr>
        <w:pStyle w:val="SOWHL3-ASDEFCON"/>
      </w:pPr>
      <w:r>
        <w:t>Transition Support for Commonwealth Units</w:t>
      </w:r>
    </w:p>
    <w:p w14:paraId="3BD98FE6" w14:textId="19CFD18E" w:rsidR="00E30347" w:rsidRDefault="00897BE0" w:rsidP="000824CF">
      <w:pPr>
        <w:pStyle w:val="SOWTL4-ASDEFCON"/>
      </w:pPr>
      <w:r>
        <w:t>If</w:t>
      </w:r>
      <w:r w:rsidR="00E30347">
        <w:t xml:space="preserve"> the Contract requires the Contractor to provide specialist personnel to directly support the Transition-related activities of Commonwealth units, the CTXP shall:</w:t>
      </w:r>
    </w:p>
    <w:p w14:paraId="247231E3" w14:textId="77777777" w:rsidR="00E30347" w:rsidRDefault="00E30347" w:rsidP="000824CF">
      <w:pPr>
        <w:pStyle w:val="SOWSubL1-ASDEFCON"/>
      </w:pPr>
      <w:r>
        <w:t>outline the range and scope of Transition support activities;</w:t>
      </w:r>
    </w:p>
    <w:p w14:paraId="4BF0A84E" w14:textId="77777777" w:rsidR="00E30347" w:rsidRDefault="00E30347" w:rsidP="000824CF">
      <w:pPr>
        <w:pStyle w:val="SOWSubL1-ASDEFCON"/>
      </w:pPr>
      <w:r>
        <w:t>identify each Commonwealth unit to be supported, the objective or the criteria for completion, and the activities involved;</w:t>
      </w:r>
    </w:p>
    <w:p w14:paraId="6A75A62E" w14:textId="77777777" w:rsidR="00E30347" w:rsidRDefault="00E30347" w:rsidP="000824CF">
      <w:pPr>
        <w:pStyle w:val="SOWSubL1-ASDEFCON"/>
      </w:pPr>
      <w:r>
        <w:t>for each Contractor and/or Subcontractor person or work team required, identify:</w:t>
      </w:r>
    </w:p>
    <w:p w14:paraId="3E75177D" w14:textId="77777777" w:rsidR="00E30347" w:rsidRDefault="00E30347" w:rsidP="0033636C">
      <w:pPr>
        <w:pStyle w:val="SOWSubL2-ASDEFCON"/>
      </w:pPr>
      <w:r>
        <w:t>the numbers and skills of the personnel;</w:t>
      </w:r>
    </w:p>
    <w:p w14:paraId="2D12FC04" w14:textId="77777777" w:rsidR="00E30347" w:rsidRDefault="00E30347" w:rsidP="0033636C">
      <w:pPr>
        <w:pStyle w:val="SOWSubL2-ASDEFCON"/>
      </w:pPr>
      <w:r>
        <w:t>the duration of the support activity for each Commonwealth unit; and</w:t>
      </w:r>
    </w:p>
    <w:p w14:paraId="4C5AE49E" w14:textId="77777777" w:rsidR="00E30347" w:rsidRDefault="00E30347" w:rsidP="0033636C">
      <w:pPr>
        <w:pStyle w:val="SOWSubL2-ASDEFCON"/>
      </w:pPr>
      <w:r>
        <w:t>the work location (</w:t>
      </w:r>
      <w:proofErr w:type="spellStart"/>
      <w:r>
        <w:t>eg</w:t>
      </w:r>
      <w:proofErr w:type="spellEnd"/>
      <w:r>
        <w:t>, on-site with the Commonwealth unit or remote); and</w:t>
      </w:r>
    </w:p>
    <w:p w14:paraId="56015FF5" w14:textId="77777777" w:rsidR="00E30347" w:rsidRDefault="00E30347" w:rsidP="000824CF">
      <w:pPr>
        <w:pStyle w:val="SOWSubL1-ASDEFCON"/>
      </w:pPr>
      <w:r>
        <w:t>identify any Training requirements (</w:t>
      </w:r>
      <w:proofErr w:type="spellStart"/>
      <w:r>
        <w:t>eg</w:t>
      </w:r>
      <w:proofErr w:type="spellEnd"/>
      <w:r>
        <w:t>, for Defence information systems).</w:t>
      </w:r>
    </w:p>
    <w:p w14:paraId="0DCB1CB0" w14:textId="77777777" w:rsidR="000A7229" w:rsidRPr="005F7DEE" w:rsidRDefault="000A7229" w:rsidP="000824CF">
      <w:pPr>
        <w:pStyle w:val="SOWHL3-ASDEFCON"/>
      </w:pPr>
      <w:r w:rsidRPr="005F7DEE">
        <w:t>Transition Register</w:t>
      </w:r>
    </w:p>
    <w:p w14:paraId="441847E1" w14:textId="77777777" w:rsidR="000A7229" w:rsidRPr="005F7DEE" w:rsidRDefault="000A7229" w:rsidP="000824CF">
      <w:pPr>
        <w:pStyle w:val="SOWTL4-ASDEFCON"/>
      </w:pPr>
      <w:r w:rsidRPr="005F7DEE">
        <w:t>The CTXP shall describe the Transition Register used by the Contractor for recording the Transition activities, tasks, risks and issues.</w:t>
      </w:r>
    </w:p>
    <w:p w14:paraId="728A6890" w14:textId="77777777" w:rsidR="000A7229" w:rsidRPr="005F7DEE" w:rsidRDefault="000A7229" w:rsidP="000824CF">
      <w:pPr>
        <w:pStyle w:val="SOWTL4-ASDEFCON"/>
      </w:pPr>
      <w:r w:rsidRPr="005F7DEE">
        <w:t>The Transition Register shall be a separate entity from the CTXP (due to the dynamic nature of the content of the Transition Register).</w:t>
      </w:r>
    </w:p>
    <w:p w14:paraId="42DA56BF" w14:textId="77777777" w:rsidR="000A7229" w:rsidRPr="005F7DEE" w:rsidRDefault="000A7229" w:rsidP="000824CF">
      <w:pPr>
        <w:pStyle w:val="SOWTL4-ASDEFCON"/>
      </w:pPr>
      <w:r w:rsidRPr="005F7DEE">
        <w:t xml:space="preserve">The Transition Register shall, for each Transition activity, </w:t>
      </w:r>
      <w:r w:rsidR="00204C02" w:rsidRPr="005F7DEE">
        <w:t>include</w:t>
      </w:r>
      <w:r w:rsidRPr="005F7DEE">
        <w:t>:</w:t>
      </w:r>
    </w:p>
    <w:p w14:paraId="4D3EAFBC" w14:textId="77777777" w:rsidR="000A7229" w:rsidRPr="005F7DEE" w:rsidRDefault="00D07310" w:rsidP="000824CF">
      <w:pPr>
        <w:pStyle w:val="SOWSubL1-ASDEFCON"/>
      </w:pPr>
      <w:r>
        <w:t>a unique activity</w:t>
      </w:r>
      <w:r w:rsidRPr="005F7DEE">
        <w:t xml:space="preserve"> </w:t>
      </w:r>
      <w:r w:rsidR="000A7229" w:rsidRPr="005F7DEE">
        <w:t>identification number;</w:t>
      </w:r>
    </w:p>
    <w:p w14:paraId="78E88AAC" w14:textId="77777777" w:rsidR="000A7229" w:rsidRPr="005F7DEE" w:rsidRDefault="000A7229" w:rsidP="000824CF">
      <w:pPr>
        <w:pStyle w:val="SOWSubL1-ASDEFCON"/>
      </w:pPr>
      <w:r w:rsidRPr="005F7DEE">
        <w:t>a brief description of the activity, including reference to any related clauses in the Contract</w:t>
      </w:r>
      <w:r w:rsidR="00D07310">
        <w:t xml:space="preserve"> and </w:t>
      </w:r>
      <w:r w:rsidRPr="005F7DEE">
        <w:t xml:space="preserve">an outline of the tasks </w:t>
      </w:r>
      <w:r w:rsidR="00D07310">
        <w:t>needed to perform</w:t>
      </w:r>
      <w:r w:rsidR="00D07310" w:rsidRPr="005F7DEE">
        <w:t xml:space="preserve"> </w:t>
      </w:r>
      <w:r w:rsidRPr="005F7DEE">
        <w:t>the activity;</w:t>
      </w:r>
    </w:p>
    <w:p w14:paraId="0C1CDE5A" w14:textId="77777777" w:rsidR="000A7229" w:rsidRPr="005F7DEE" w:rsidRDefault="000A7229" w:rsidP="000824CF">
      <w:pPr>
        <w:pStyle w:val="SOWSubL1-ASDEFCON"/>
      </w:pPr>
      <w:r w:rsidRPr="005F7DEE">
        <w:t>the priority of the activity;</w:t>
      </w:r>
    </w:p>
    <w:p w14:paraId="4A8ACB88" w14:textId="77777777" w:rsidR="000A7229" w:rsidRPr="005F7DEE" w:rsidRDefault="00204C02" w:rsidP="000824CF">
      <w:pPr>
        <w:pStyle w:val="SOWSubL1-ASDEFCON"/>
      </w:pPr>
      <w:r w:rsidRPr="005F7DEE">
        <w:lastRenderedPageBreak/>
        <w:t xml:space="preserve">details of </w:t>
      </w:r>
      <w:r w:rsidR="000A7229" w:rsidRPr="005F7DEE">
        <w:t>the individual in the Contractor’s organisation responsible for the activity;</w:t>
      </w:r>
    </w:p>
    <w:p w14:paraId="49AEFA05" w14:textId="77777777" w:rsidR="000A7229" w:rsidRPr="005F7DEE" w:rsidRDefault="00204C02" w:rsidP="000824CF">
      <w:pPr>
        <w:pStyle w:val="SOWSubL1-ASDEFCON"/>
      </w:pPr>
      <w:r w:rsidRPr="005F7DEE">
        <w:t xml:space="preserve">details of </w:t>
      </w:r>
      <w:r w:rsidR="000A7229" w:rsidRPr="005F7DEE">
        <w:t>other parties involved in the activity, including the identification of any Commonwealth parties that are external to the Project Office;</w:t>
      </w:r>
    </w:p>
    <w:p w14:paraId="58BA74F2" w14:textId="77777777" w:rsidR="000A7229" w:rsidRPr="005F7DEE" w:rsidRDefault="000A7229" w:rsidP="000824CF">
      <w:pPr>
        <w:pStyle w:val="SOWSubL1-ASDEFCON"/>
      </w:pPr>
      <w:r w:rsidRPr="005F7DEE">
        <w:t>the timeframes for achieving the activity;</w:t>
      </w:r>
    </w:p>
    <w:p w14:paraId="04254DAC" w14:textId="77777777" w:rsidR="00F72FD1" w:rsidRPr="005F7DEE" w:rsidRDefault="00F72FD1" w:rsidP="000824CF">
      <w:pPr>
        <w:pStyle w:val="SOWSubL1-ASDEFCON"/>
      </w:pPr>
      <w:r w:rsidRPr="005F7DEE">
        <w:t xml:space="preserve">the action status of </w:t>
      </w:r>
      <w:r w:rsidR="00D07310">
        <w:t>the</w:t>
      </w:r>
      <w:r w:rsidRPr="005F7DEE">
        <w:t xml:space="preserve"> activity</w:t>
      </w:r>
      <w:r w:rsidR="00D07310">
        <w:t xml:space="preserve"> (</w:t>
      </w:r>
      <w:proofErr w:type="spellStart"/>
      <w:r w:rsidR="00D07310">
        <w:t>eg</w:t>
      </w:r>
      <w:proofErr w:type="spellEnd"/>
      <w:r w:rsidR="00D07310">
        <w:t>, not started, in progress, completed)</w:t>
      </w:r>
      <w:r w:rsidRPr="005F7DEE">
        <w:t>;</w:t>
      </w:r>
    </w:p>
    <w:p w14:paraId="26216639" w14:textId="77777777" w:rsidR="000A7229" w:rsidRPr="005F7DEE" w:rsidRDefault="000A7229" w:rsidP="000824CF">
      <w:pPr>
        <w:pStyle w:val="SOWSubL1-ASDEFCON"/>
      </w:pPr>
      <w:r w:rsidRPr="005F7DEE">
        <w:t xml:space="preserve">the associated </w:t>
      </w:r>
      <w:r w:rsidR="00D07310">
        <w:t>risks, with cross-references to the Risk Register</w:t>
      </w:r>
      <w:r w:rsidRPr="005F7DEE">
        <w:t>; and</w:t>
      </w:r>
    </w:p>
    <w:p w14:paraId="6A5B6F06" w14:textId="77777777" w:rsidR="000A7229" w:rsidRPr="005F7DEE" w:rsidRDefault="005D0CE3" w:rsidP="000824CF">
      <w:pPr>
        <w:pStyle w:val="SOWSubL1-ASDEFCON"/>
      </w:pPr>
      <w:r>
        <w:t xml:space="preserve">details of </w:t>
      </w:r>
      <w:r w:rsidR="000A7229" w:rsidRPr="005F7DEE">
        <w:t xml:space="preserve">any </w:t>
      </w:r>
      <w:r w:rsidR="006604B7">
        <w:t>issues to be resolved</w:t>
      </w:r>
      <w:r w:rsidR="006604B7" w:rsidRPr="005F7DEE">
        <w:t xml:space="preserve"> </w:t>
      </w:r>
      <w:r w:rsidR="006604B7">
        <w:t xml:space="preserve">/ </w:t>
      </w:r>
      <w:r w:rsidR="000A7229" w:rsidRPr="005F7DEE">
        <w:t>action items associated with the activity, including the timeframes for those action items and the party to whom the action items have been assigned.</w:t>
      </w:r>
    </w:p>
    <w:sectPr w:rsidR="000A7229" w:rsidRPr="005F7DEE" w:rsidSect="00B03206">
      <w:headerReference w:type="default" r:id="rId7"/>
      <w:footerReference w:type="default" r:id="rId8"/>
      <w:pgSz w:w="11906" w:h="16838" w:code="9"/>
      <w:pgMar w:top="1247" w:right="1417" w:bottom="56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3A8AB" w14:textId="77777777" w:rsidR="007C1CF5" w:rsidRDefault="007C1CF5">
      <w:r>
        <w:separator/>
      </w:r>
    </w:p>
  </w:endnote>
  <w:endnote w:type="continuationSeparator" w:id="0">
    <w:p w14:paraId="33026AE0" w14:textId="77777777" w:rsidR="007C1CF5" w:rsidRDefault="007C1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D8621E" w14:paraId="0C8C51AA" w14:textId="77777777" w:rsidTr="005B732F">
      <w:tc>
        <w:tcPr>
          <w:tcW w:w="2500" w:type="pct"/>
        </w:tcPr>
        <w:p w14:paraId="5A752173" w14:textId="77777777" w:rsidR="00D8621E" w:rsidRDefault="00D8621E" w:rsidP="005B732F">
          <w:pPr>
            <w:pStyle w:val="ASDEFCONHeaderFooterLeft"/>
          </w:pPr>
        </w:p>
      </w:tc>
      <w:tc>
        <w:tcPr>
          <w:tcW w:w="2500" w:type="pct"/>
        </w:tcPr>
        <w:p w14:paraId="5A91202D" w14:textId="3E013DA0" w:rsidR="00D8621E" w:rsidRPr="005139FA" w:rsidRDefault="00D8621E" w:rsidP="005B732F">
          <w:pPr>
            <w:pStyle w:val="ASDEFCONHeaderFooterRight"/>
            <w:rPr>
              <w:szCs w:val="16"/>
            </w:rPr>
          </w:pPr>
          <w:r w:rsidRPr="005139FA">
            <w:rPr>
              <w:rStyle w:val="PageNumber"/>
              <w:color w:val="auto"/>
              <w:szCs w:val="16"/>
            </w:rPr>
            <w:fldChar w:fldCharType="begin"/>
          </w:r>
          <w:r w:rsidRPr="005139FA">
            <w:rPr>
              <w:rStyle w:val="PageNumber"/>
              <w:color w:val="auto"/>
              <w:szCs w:val="16"/>
            </w:rPr>
            <w:instrText xml:space="preserve"> PAGE </w:instrText>
          </w:r>
          <w:r w:rsidRPr="005139FA">
            <w:rPr>
              <w:rStyle w:val="PageNumber"/>
              <w:color w:val="auto"/>
              <w:szCs w:val="16"/>
            </w:rPr>
            <w:fldChar w:fldCharType="separate"/>
          </w:r>
          <w:r w:rsidR="009745FF">
            <w:rPr>
              <w:rStyle w:val="PageNumber"/>
              <w:noProof/>
              <w:color w:val="auto"/>
              <w:szCs w:val="16"/>
            </w:rPr>
            <w:t>1</w:t>
          </w:r>
          <w:r w:rsidRPr="005139FA">
            <w:rPr>
              <w:rStyle w:val="PageNumber"/>
              <w:color w:val="auto"/>
              <w:szCs w:val="16"/>
            </w:rPr>
            <w:fldChar w:fldCharType="end"/>
          </w:r>
        </w:p>
      </w:tc>
    </w:tr>
    <w:tr w:rsidR="00D8621E" w14:paraId="06BCBD64" w14:textId="77777777" w:rsidTr="005B732F">
      <w:tc>
        <w:tcPr>
          <w:tcW w:w="5000" w:type="pct"/>
          <w:gridSpan w:val="2"/>
        </w:tcPr>
        <w:p w14:paraId="7E25AF23" w14:textId="6DE910B3" w:rsidR="00D8621E" w:rsidRDefault="00897BE0" w:rsidP="007C7779">
          <w:pPr>
            <w:pStyle w:val="ASDEFCONHeaderFooterClassification"/>
          </w:pPr>
          <w:fldSimple w:instr=" DOCPROPERTY  Classification  \* MERGEFORMAT ">
            <w:r w:rsidR="007E5DAF">
              <w:t>OFFICIAL</w:t>
            </w:r>
          </w:fldSimple>
        </w:p>
      </w:tc>
    </w:tr>
  </w:tbl>
  <w:p w14:paraId="11BA598E" w14:textId="77777777" w:rsidR="00D8621E" w:rsidRPr="005B732F" w:rsidRDefault="00D8621E" w:rsidP="005B73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31F23C" w14:textId="77777777" w:rsidR="007C1CF5" w:rsidRDefault="007C1CF5">
      <w:r>
        <w:separator/>
      </w:r>
    </w:p>
  </w:footnote>
  <w:footnote w:type="continuationSeparator" w:id="0">
    <w:p w14:paraId="3E27E6B2" w14:textId="77777777" w:rsidR="007C1CF5" w:rsidRDefault="007C1C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D8621E" w14:paraId="6A01F64F" w14:textId="77777777" w:rsidTr="005B732F">
      <w:tc>
        <w:tcPr>
          <w:tcW w:w="5000" w:type="pct"/>
          <w:gridSpan w:val="2"/>
        </w:tcPr>
        <w:p w14:paraId="0E944AB0" w14:textId="407E2E10" w:rsidR="00D8621E" w:rsidRDefault="00897BE0" w:rsidP="007C7779">
          <w:pPr>
            <w:pStyle w:val="ASDEFCONHeaderFooterClassification"/>
          </w:pPr>
          <w:fldSimple w:instr=" DOCPROPERTY  Classification  \* MERGEFORMAT ">
            <w:r w:rsidR="007E5DAF">
              <w:t>OFFICIAL</w:t>
            </w:r>
          </w:fldSimple>
        </w:p>
      </w:tc>
    </w:tr>
    <w:tr w:rsidR="00D8621E" w14:paraId="55E3991A" w14:textId="77777777" w:rsidTr="005B732F">
      <w:tc>
        <w:tcPr>
          <w:tcW w:w="2500" w:type="pct"/>
        </w:tcPr>
        <w:p w14:paraId="685333A0" w14:textId="50C41152" w:rsidR="00D8621E" w:rsidRDefault="009745FF" w:rsidP="005B732F">
          <w:pPr>
            <w:pStyle w:val="ASDEFCONHeaderFooterLeft"/>
          </w:pPr>
          <w:r>
            <w:fldChar w:fldCharType="begin"/>
          </w:r>
          <w:r>
            <w:instrText xml:space="preserve"> DOCPROPERTY Header_Left </w:instrText>
          </w:r>
          <w:r>
            <w:fldChar w:fldCharType="separate"/>
          </w:r>
          <w:r w:rsidR="007E5DAF">
            <w:t>ASDEFCON (Strategic Materiel)</w:t>
          </w:r>
          <w:r>
            <w:fldChar w:fldCharType="end"/>
          </w:r>
        </w:p>
      </w:tc>
      <w:tc>
        <w:tcPr>
          <w:tcW w:w="2500" w:type="pct"/>
        </w:tcPr>
        <w:p w14:paraId="5AF075C9" w14:textId="083138D0" w:rsidR="00D8621E" w:rsidRDefault="00897BE0" w:rsidP="005B732F">
          <w:pPr>
            <w:pStyle w:val="ASDEFCONHeaderFooterRight"/>
          </w:pPr>
          <w:fldSimple w:instr=" DOCPROPERTY  Title  \* MERGEFORMAT ">
            <w:r w:rsidR="007E5DAF">
              <w:t>DID-PM-TRANS-CTXP</w:t>
            </w:r>
          </w:fldSimple>
          <w:r w:rsidR="00051298">
            <w:t>-</w:t>
          </w:r>
          <w:r w:rsidR="009745FF">
            <w:fldChar w:fldCharType="begin"/>
          </w:r>
          <w:r w:rsidR="009745FF">
            <w:instrText xml:space="preserve"> DOCPROPERTY  Version  \* MERGEFORMAT </w:instrText>
          </w:r>
          <w:r w:rsidR="009745FF">
            <w:fldChar w:fldCharType="separate"/>
          </w:r>
          <w:r w:rsidR="007E5DAF">
            <w:t>V5.3</w:t>
          </w:r>
          <w:r w:rsidR="009745FF">
            <w:fldChar w:fldCharType="end"/>
          </w:r>
        </w:p>
      </w:tc>
    </w:tr>
  </w:tbl>
  <w:p w14:paraId="177568AB" w14:textId="77777777" w:rsidR="00D8621E" w:rsidRPr="005B732F" w:rsidRDefault="00D8621E" w:rsidP="005B73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46020D8"/>
    <w:multiLevelType w:val="multilevel"/>
    <w:tmpl w:val="5046DC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7"/>
  </w:num>
  <w:num w:numId="3">
    <w:abstractNumId w:val="29"/>
  </w:num>
  <w:num w:numId="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2"/>
  </w:num>
  <w:num w:numId="7">
    <w:abstractNumId w:val="31"/>
  </w:num>
  <w:num w:numId="8">
    <w:abstractNumId w:val="19"/>
  </w:num>
  <w:num w:numId="9">
    <w:abstractNumId w:val="23"/>
  </w:num>
  <w:num w:numId="10">
    <w:abstractNumId w:val="35"/>
  </w:num>
  <w:num w:numId="11">
    <w:abstractNumId w:val="13"/>
  </w:num>
  <w:num w:numId="12">
    <w:abstractNumId w:val="16"/>
  </w:num>
  <w:num w:numId="13">
    <w:abstractNumId w:val="37"/>
  </w:num>
  <w:num w:numId="14">
    <w:abstractNumId w:val="10"/>
  </w:num>
  <w:num w:numId="15">
    <w:abstractNumId w:val="8"/>
  </w:num>
  <w:num w:numId="16">
    <w:abstractNumId w:val="3"/>
  </w:num>
  <w:num w:numId="17">
    <w:abstractNumId w:val="5"/>
  </w:num>
  <w:num w:numId="18">
    <w:abstractNumId w:val="15"/>
  </w:num>
  <w:num w:numId="19">
    <w:abstractNumId w:val="2"/>
  </w:num>
  <w:num w:numId="20">
    <w:abstractNumId w:val="21"/>
  </w:num>
  <w:num w:numId="21">
    <w:abstractNumId w:val="33"/>
  </w:num>
  <w:num w:numId="22">
    <w:abstractNumId w:val="30"/>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17"/>
  </w:num>
  <w:num w:numId="26">
    <w:abstractNumId w:val="24"/>
  </w:num>
  <w:num w:numId="27">
    <w:abstractNumId w:val="34"/>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6"/>
  </w:num>
  <w:num w:numId="31">
    <w:abstractNumId w:val="36"/>
  </w:num>
  <w:num w:numId="32">
    <w:abstractNumId w:val="14"/>
  </w:num>
  <w:num w:numId="33">
    <w:abstractNumId w:val="22"/>
  </w:num>
  <w:num w:numId="34">
    <w:abstractNumId w:val="9"/>
  </w:num>
  <w:num w:numId="35">
    <w:abstractNumId w:val="4"/>
  </w:num>
  <w:num w:numId="36">
    <w:abstractNumId w:val="26"/>
  </w:num>
  <w:num w:numId="37">
    <w:abstractNumId w:val="27"/>
  </w:num>
  <w:num w:numId="38">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39">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0">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1">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2">
    <w:abstractNumId w:val="28"/>
  </w:num>
  <w:num w:numId="43">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5">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064"/>
    <w:rsid w:val="00001F30"/>
    <w:rsid w:val="00004E60"/>
    <w:rsid w:val="00020064"/>
    <w:rsid w:val="000436C5"/>
    <w:rsid w:val="000477E1"/>
    <w:rsid w:val="00051298"/>
    <w:rsid w:val="000824CF"/>
    <w:rsid w:val="00091035"/>
    <w:rsid w:val="000A7229"/>
    <w:rsid w:val="000C027D"/>
    <w:rsid w:val="000D2978"/>
    <w:rsid w:val="000D3F92"/>
    <w:rsid w:val="000E3410"/>
    <w:rsid w:val="000F1A55"/>
    <w:rsid w:val="001307D8"/>
    <w:rsid w:val="001411E8"/>
    <w:rsid w:val="00147B31"/>
    <w:rsid w:val="0018475F"/>
    <w:rsid w:val="0018702A"/>
    <w:rsid w:val="00192988"/>
    <w:rsid w:val="00204C02"/>
    <w:rsid w:val="00233471"/>
    <w:rsid w:val="00244C8E"/>
    <w:rsid w:val="00251B0B"/>
    <w:rsid w:val="00253425"/>
    <w:rsid w:val="0026385A"/>
    <w:rsid w:val="00270AA9"/>
    <w:rsid w:val="00270D2C"/>
    <w:rsid w:val="00275AAA"/>
    <w:rsid w:val="00287D8E"/>
    <w:rsid w:val="00291FA8"/>
    <w:rsid w:val="002A4F6D"/>
    <w:rsid w:val="002E77B5"/>
    <w:rsid w:val="002F24FC"/>
    <w:rsid w:val="003154A7"/>
    <w:rsid w:val="0033636C"/>
    <w:rsid w:val="00342571"/>
    <w:rsid w:val="00345060"/>
    <w:rsid w:val="00345546"/>
    <w:rsid w:val="00356F17"/>
    <w:rsid w:val="00381637"/>
    <w:rsid w:val="003947E5"/>
    <w:rsid w:val="003A06E1"/>
    <w:rsid w:val="003A0BB1"/>
    <w:rsid w:val="003B292E"/>
    <w:rsid w:val="003C53AA"/>
    <w:rsid w:val="003E1C82"/>
    <w:rsid w:val="003F0ACE"/>
    <w:rsid w:val="00402A2D"/>
    <w:rsid w:val="00405949"/>
    <w:rsid w:val="00406FDE"/>
    <w:rsid w:val="00443AAD"/>
    <w:rsid w:val="004578B5"/>
    <w:rsid w:val="0048158A"/>
    <w:rsid w:val="00487F47"/>
    <w:rsid w:val="00494513"/>
    <w:rsid w:val="004A3F7A"/>
    <w:rsid w:val="004B19C5"/>
    <w:rsid w:val="004F1613"/>
    <w:rsid w:val="00506FF2"/>
    <w:rsid w:val="005139FA"/>
    <w:rsid w:val="005202FC"/>
    <w:rsid w:val="00532044"/>
    <w:rsid w:val="00542935"/>
    <w:rsid w:val="00550DF7"/>
    <w:rsid w:val="0055543C"/>
    <w:rsid w:val="00557207"/>
    <w:rsid w:val="00563C67"/>
    <w:rsid w:val="0058719A"/>
    <w:rsid w:val="0059439D"/>
    <w:rsid w:val="005A4636"/>
    <w:rsid w:val="005B63CD"/>
    <w:rsid w:val="005B67E9"/>
    <w:rsid w:val="005B732F"/>
    <w:rsid w:val="005D0732"/>
    <w:rsid w:val="005D0CE3"/>
    <w:rsid w:val="005F115C"/>
    <w:rsid w:val="005F19E2"/>
    <w:rsid w:val="005F3270"/>
    <w:rsid w:val="005F3ACD"/>
    <w:rsid w:val="005F7DEE"/>
    <w:rsid w:val="00601B12"/>
    <w:rsid w:val="006078C9"/>
    <w:rsid w:val="00615B65"/>
    <w:rsid w:val="00625F52"/>
    <w:rsid w:val="006265B9"/>
    <w:rsid w:val="006604B7"/>
    <w:rsid w:val="00660809"/>
    <w:rsid w:val="00665035"/>
    <w:rsid w:val="0068390D"/>
    <w:rsid w:val="00687412"/>
    <w:rsid w:val="00691E69"/>
    <w:rsid w:val="006A06FF"/>
    <w:rsid w:val="006F347D"/>
    <w:rsid w:val="006F495C"/>
    <w:rsid w:val="00710C81"/>
    <w:rsid w:val="0071244F"/>
    <w:rsid w:val="00726D01"/>
    <w:rsid w:val="00730DFD"/>
    <w:rsid w:val="007463CE"/>
    <w:rsid w:val="007716EE"/>
    <w:rsid w:val="00771FD1"/>
    <w:rsid w:val="007B3480"/>
    <w:rsid w:val="007B699E"/>
    <w:rsid w:val="007C1CF5"/>
    <w:rsid w:val="007C7779"/>
    <w:rsid w:val="007E5DAF"/>
    <w:rsid w:val="00805748"/>
    <w:rsid w:val="00821422"/>
    <w:rsid w:val="0082660F"/>
    <w:rsid w:val="008276B3"/>
    <w:rsid w:val="00842A83"/>
    <w:rsid w:val="0089159D"/>
    <w:rsid w:val="00897BE0"/>
    <w:rsid w:val="008C312F"/>
    <w:rsid w:val="0090275E"/>
    <w:rsid w:val="00916AD5"/>
    <w:rsid w:val="00921730"/>
    <w:rsid w:val="00943B7B"/>
    <w:rsid w:val="00944F03"/>
    <w:rsid w:val="009745FF"/>
    <w:rsid w:val="009928C5"/>
    <w:rsid w:val="00995B95"/>
    <w:rsid w:val="009A34C5"/>
    <w:rsid w:val="009C47F1"/>
    <w:rsid w:val="009C4994"/>
    <w:rsid w:val="009D5992"/>
    <w:rsid w:val="00A26610"/>
    <w:rsid w:val="00A27AFF"/>
    <w:rsid w:val="00A440DC"/>
    <w:rsid w:val="00A459C5"/>
    <w:rsid w:val="00A60300"/>
    <w:rsid w:val="00A70580"/>
    <w:rsid w:val="00A87D3B"/>
    <w:rsid w:val="00AB3817"/>
    <w:rsid w:val="00AF10B5"/>
    <w:rsid w:val="00AF118E"/>
    <w:rsid w:val="00AF7B3B"/>
    <w:rsid w:val="00B03206"/>
    <w:rsid w:val="00B22FB1"/>
    <w:rsid w:val="00B4708C"/>
    <w:rsid w:val="00B5104C"/>
    <w:rsid w:val="00B550C9"/>
    <w:rsid w:val="00B57CC3"/>
    <w:rsid w:val="00B82495"/>
    <w:rsid w:val="00B83491"/>
    <w:rsid w:val="00BC09EC"/>
    <w:rsid w:val="00BD4CE8"/>
    <w:rsid w:val="00BD50BA"/>
    <w:rsid w:val="00BF4FE5"/>
    <w:rsid w:val="00C47283"/>
    <w:rsid w:val="00C62186"/>
    <w:rsid w:val="00CD0966"/>
    <w:rsid w:val="00CD24EC"/>
    <w:rsid w:val="00CD3381"/>
    <w:rsid w:val="00D07310"/>
    <w:rsid w:val="00D337F2"/>
    <w:rsid w:val="00D43CA0"/>
    <w:rsid w:val="00D4493C"/>
    <w:rsid w:val="00D7591C"/>
    <w:rsid w:val="00D8621E"/>
    <w:rsid w:val="00D86EB8"/>
    <w:rsid w:val="00DB1995"/>
    <w:rsid w:val="00DD1D87"/>
    <w:rsid w:val="00DE0101"/>
    <w:rsid w:val="00DE0371"/>
    <w:rsid w:val="00DE7126"/>
    <w:rsid w:val="00DE74D1"/>
    <w:rsid w:val="00DE75F3"/>
    <w:rsid w:val="00E02412"/>
    <w:rsid w:val="00E07621"/>
    <w:rsid w:val="00E25EF7"/>
    <w:rsid w:val="00E27123"/>
    <w:rsid w:val="00E30347"/>
    <w:rsid w:val="00E32F97"/>
    <w:rsid w:val="00E757DF"/>
    <w:rsid w:val="00E844E1"/>
    <w:rsid w:val="00EA24E3"/>
    <w:rsid w:val="00EB0D33"/>
    <w:rsid w:val="00EB5611"/>
    <w:rsid w:val="00ED045E"/>
    <w:rsid w:val="00F24505"/>
    <w:rsid w:val="00F2637A"/>
    <w:rsid w:val="00F310E8"/>
    <w:rsid w:val="00F402E7"/>
    <w:rsid w:val="00F434BD"/>
    <w:rsid w:val="00F704A7"/>
    <w:rsid w:val="00F72FD1"/>
    <w:rsid w:val="00FA5FA9"/>
    <w:rsid w:val="00FB3D04"/>
    <w:rsid w:val="00FB405E"/>
    <w:rsid w:val="00FC3DA6"/>
    <w:rsid w:val="00FF4E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3A1AB8"/>
  <w15:docId w15:val="{A7983C03-681B-43E2-87F2-ACEDBBE50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45FF"/>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9745FF"/>
    <w:pPr>
      <w:keepNext/>
      <w:spacing w:before="12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9745FF"/>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9745FF"/>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9745FF"/>
    <w:pPr>
      <w:keepNext/>
      <w:keepLines/>
      <w:spacing w:before="200" w:after="60"/>
      <w:outlineLvl w:val="3"/>
    </w:pPr>
    <w:rPr>
      <w:b/>
      <w:bCs/>
      <w:i/>
      <w:iCs/>
    </w:rPr>
  </w:style>
  <w:style w:type="paragraph" w:styleId="Heading5">
    <w:name w:val="heading 5"/>
    <w:aliases w:val="Para5,5 sub-bullet,sb,4,Spare1,Level 3 - (i),(i),(i)1,Level 3 - (i)1,i.,1.1.1.1.1"/>
    <w:basedOn w:val="Normal"/>
    <w:next w:val="Normal"/>
    <w:link w:val="Heading5Char"/>
    <w:qFormat/>
    <w:rsid w:val="00601B12"/>
    <w:pPr>
      <w:numPr>
        <w:ilvl w:val="4"/>
        <w:numId w:val="24"/>
      </w:numPr>
      <w:spacing w:before="240" w:after="60"/>
      <w:outlineLvl w:val="4"/>
    </w:pPr>
  </w:style>
  <w:style w:type="paragraph" w:styleId="Heading6">
    <w:name w:val="heading 6"/>
    <w:aliases w:val="sub-dash,sd,5,Spare2,A.,Heading 6 (a),Smart 2000"/>
    <w:basedOn w:val="Normal"/>
    <w:next w:val="Normal"/>
    <w:link w:val="Heading6Char"/>
    <w:qFormat/>
    <w:rsid w:val="00601B12"/>
    <w:pPr>
      <w:numPr>
        <w:ilvl w:val="5"/>
        <w:numId w:val="24"/>
      </w:numPr>
      <w:spacing w:before="240" w:after="60"/>
      <w:outlineLvl w:val="5"/>
    </w:pPr>
    <w:rPr>
      <w:i/>
    </w:rPr>
  </w:style>
  <w:style w:type="paragraph" w:styleId="Heading7">
    <w:name w:val="heading 7"/>
    <w:aliases w:val="Spare3"/>
    <w:basedOn w:val="Normal"/>
    <w:next w:val="Normal"/>
    <w:link w:val="Heading7Char"/>
    <w:qFormat/>
    <w:rsid w:val="00601B12"/>
    <w:pPr>
      <w:numPr>
        <w:ilvl w:val="6"/>
        <w:numId w:val="24"/>
      </w:numPr>
      <w:spacing w:before="240" w:after="60"/>
      <w:outlineLvl w:val="6"/>
    </w:pPr>
  </w:style>
  <w:style w:type="paragraph" w:styleId="Heading8">
    <w:name w:val="heading 8"/>
    <w:aliases w:val="Spare4,(A)"/>
    <w:basedOn w:val="Normal"/>
    <w:next w:val="Normal"/>
    <w:link w:val="Heading8Char"/>
    <w:qFormat/>
    <w:rsid w:val="00601B12"/>
    <w:pPr>
      <w:numPr>
        <w:ilvl w:val="7"/>
        <w:numId w:val="24"/>
      </w:numPr>
      <w:spacing w:before="240" w:after="60"/>
      <w:outlineLvl w:val="7"/>
    </w:pPr>
    <w:rPr>
      <w:i/>
    </w:rPr>
  </w:style>
  <w:style w:type="paragraph" w:styleId="Heading9">
    <w:name w:val="heading 9"/>
    <w:aliases w:val="Spare5,HAPPY,I"/>
    <w:basedOn w:val="Normal"/>
    <w:next w:val="Normal"/>
    <w:link w:val="Heading9Char"/>
    <w:qFormat/>
    <w:rsid w:val="00601B12"/>
    <w:pPr>
      <w:numPr>
        <w:ilvl w:val="8"/>
        <w:numId w:val="24"/>
      </w:numPr>
      <w:spacing w:before="240" w:after="60"/>
      <w:outlineLvl w:val="8"/>
    </w:pPr>
    <w:rPr>
      <w:i/>
      <w:sz w:val="18"/>
    </w:rPr>
  </w:style>
  <w:style w:type="character" w:default="1" w:styleId="DefaultParagraphFont">
    <w:name w:val="Default Paragraph Font"/>
    <w:uiPriority w:val="1"/>
    <w:semiHidden/>
    <w:unhideWhenUsed/>
    <w:rsid w:val="009745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45FF"/>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TOC1">
    <w:name w:val="toc 1"/>
    <w:autoRedefine/>
    <w:uiPriority w:val="39"/>
    <w:rsid w:val="009745FF"/>
    <w:pPr>
      <w:tabs>
        <w:tab w:val="left" w:pos="567"/>
        <w:tab w:val="right" w:leader="dot" w:pos="9071"/>
      </w:tabs>
      <w:spacing w:before="120" w:after="60"/>
      <w:ind w:left="567" w:hanging="567"/>
      <w:jc w:val="both"/>
    </w:pPr>
    <w:rPr>
      <w:rFonts w:ascii="Arial" w:hAnsi="Arial" w:cs="Arial"/>
      <w:b/>
      <w:noProof/>
      <w:szCs w:val="24"/>
    </w:rPr>
  </w:style>
  <w:style w:type="character" w:styleId="CommentReference">
    <w:name w:val="annotation reference"/>
    <w:semiHidden/>
    <w:rPr>
      <w:sz w:val="16"/>
    </w:rPr>
  </w:style>
  <w:style w:type="paragraph" w:styleId="CommentText">
    <w:name w:val="annotation text"/>
    <w:basedOn w:val="Normal"/>
    <w:semiHidden/>
  </w:style>
  <w:style w:type="paragraph" w:styleId="TOC2">
    <w:name w:val="toc 2"/>
    <w:next w:val="ASDEFCONNormal"/>
    <w:autoRedefine/>
    <w:uiPriority w:val="39"/>
    <w:rsid w:val="009745FF"/>
    <w:pPr>
      <w:tabs>
        <w:tab w:val="right" w:leader="dot" w:pos="9072"/>
      </w:tabs>
      <w:spacing w:after="60"/>
      <w:ind w:left="1134" w:hanging="567"/>
    </w:pPr>
    <w:rPr>
      <w:rFonts w:ascii="Arial" w:hAnsi="Arial" w:cs="Arial"/>
      <w:szCs w:val="24"/>
    </w:rPr>
  </w:style>
  <w:style w:type="paragraph" w:styleId="TOC3">
    <w:name w:val="toc 3"/>
    <w:basedOn w:val="Normal"/>
    <w:next w:val="Normal"/>
    <w:autoRedefine/>
    <w:rsid w:val="009745FF"/>
    <w:pPr>
      <w:spacing w:after="100"/>
      <w:ind w:left="400"/>
    </w:pPr>
  </w:style>
  <w:style w:type="paragraph" w:styleId="BalloonText">
    <w:name w:val="Balloon Text"/>
    <w:basedOn w:val="Normal"/>
    <w:semiHidden/>
    <w:rsid w:val="00291FA8"/>
    <w:rPr>
      <w:rFonts w:ascii="Tahoma" w:hAnsi="Tahoma" w:cs="Tahoma"/>
      <w:sz w:val="16"/>
      <w:szCs w:val="16"/>
    </w:rPr>
  </w:style>
  <w:style w:type="table" w:styleId="TableGrid">
    <w:name w:val="Table Grid"/>
    <w:basedOn w:val="TableNormal"/>
    <w:rsid w:val="003E1C82"/>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3E1C82"/>
  </w:style>
  <w:style w:type="paragraph" w:customStyle="1" w:styleId="Style1">
    <w:name w:val="Style1"/>
    <w:basedOn w:val="Heading4"/>
    <w:rsid w:val="003E1C82"/>
    <w:rPr>
      <w:b w:val="0"/>
    </w:rPr>
  </w:style>
  <w:style w:type="paragraph" w:styleId="EndnoteText">
    <w:name w:val="endnote text"/>
    <w:basedOn w:val="Normal"/>
    <w:semiHidden/>
    <w:rsid w:val="003E1C82"/>
    <w:rPr>
      <w:szCs w:val="20"/>
    </w:rPr>
  </w:style>
  <w:style w:type="paragraph" w:customStyle="1" w:styleId="COTCOCLV2-ASDEFCON">
    <w:name w:val="COT/COC LV2 - ASDEFCON"/>
    <w:basedOn w:val="ASDEFCONNormal"/>
    <w:next w:val="COTCOCLV3-ASDEFCON"/>
    <w:rsid w:val="009745FF"/>
    <w:pPr>
      <w:keepNext/>
      <w:keepLines/>
      <w:numPr>
        <w:ilvl w:val="1"/>
        <w:numId w:val="3"/>
      </w:numPr>
      <w:pBdr>
        <w:bottom w:val="single" w:sz="4" w:space="1" w:color="auto"/>
      </w:pBdr>
    </w:pPr>
    <w:rPr>
      <w:b/>
    </w:rPr>
  </w:style>
  <w:style w:type="paragraph" w:customStyle="1" w:styleId="ASDEFCONNormal">
    <w:name w:val="ASDEFCON Normal"/>
    <w:link w:val="ASDEFCONNormalChar"/>
    <w:rsid w:val="009745FF"/>
    <w:pPr>
      <w:spacing w:after="120"/>
      <w:jc w:val="both"/>
    </w:pPr>
    <w:rPr>
      <w:rFonts w:ascii="Arial" w:hAnsi="Arial"/>
      <w:color w:val="000000"/>
      <w:szCs w:val="40"/>
    </w:rPr>
  </w:style>
  <w:style w:type="character" w:customStyle="1" w:styleId="ASDEFCONNormalChar">
    <w:name w:val="ASDEFCON Normal Char"/>
    <w:link w:val="ASDEFCONNormal"/>
    <w:rsid w:val="009745FF"/>
    <w:rPr>
      <w:rFonts w:ascii="Arial" w:hAnsi="Arial"/>
      <w:color w:val="000000"/>
      <w:szCs w:val="40"/>
    </w:rPr>
  </w:style>
  <w:style w:type="paragraph" w:customStyle="1" w:styleId="COTCOCLV3-ASDEFCON">
    <w:name w:val="COT/COC LV3 - ASDEFCON"/>
    <w:basedOn w:val="ASDEFCONNormal"/>
    <w:rsid w:val="009745FF"/>
    <w:pPr>
      <w:numPr>
        <w:ilvl w:val="2"/>
        <w:numId w:val="3"/>
      </w:numPr>
    </w:pPr>
  </w:style>
  <w:style w:type="paragraph" w:customStyle="1" w:styleId="COTCOCLV1-ASDEFCON">
    <w:name w:val="COT/COC LV1 - ASDEFCON"/>
    <w:basedOn w:val="ASDEFCONNormal"/>
    <w:next w:val="COTCOCLV2-ASDEFCON"/>
    <w:rsid w:val="009745FF"/>
    <w:pPr>
      <w:keepNext/>
      <w:keepLines/>
      <w:numPr>
        <w:numId w:val="3"/>
      </w:numPr>
      <w:spacing w:before="240"/>
    </w:pPr>
    <w:rPr>
      <w:b/>
      <w:caps/>
    </w:rPr>
  </w:style>
  <w:style w:type="paragraph" w:customStyle="1" w:styleId="COTCOCLV4-ASDEFCON">
    <w:name w:val="COT/COC LV4 - ASDEFCON"/>
    <w:basedOn w:val="ASDEFCONNormal"/>
    <w:rsid w:val="009745FF"/>
    <w:pPr>
      <w:numPr>
        <w:ilvl w:val="3"/>
        <w:numId w:val="3"/>
      </w:numPr>
    </w:pPr>
  </w:style>
  <w:style w:type="paragraph" w:customStyle="1" w:styleId="COTCOCLV5-ASDEFCON">
    <w:name w:val="COT/COC LV5 - ASDEFCON"/>
    <w:basedOn w:val="ASDEFCONNormal"/>
    <w:rsid w:val="009745FF"/>
    <w:pPr>
      <w:numPr>
        <w:ilvl w:val="4"/>
        <w:numId w:val="3"/>
      </w:numPr>
    </w:pPr>
  </w:style>
  <w:style w:type="paragraph" w:customStyle="1" w:styleId="COTCOCLV6-ASDEFCON">
    <w:name w:val="COT/COC LV6 - ASDEFCON"/>
    <w:basedOn w:val="ASDEFCONNormal"/>
    <w:rsid w:val="009745FF"/>
    <w:pPr>
      <w:keepLines/>
      <w:numPr>
        <w:ilvl w:val="5"/>
        <w:numId w:val="3"/>
      </w:numPr>
    </w:pPr>
  </w:style>
  <w:style w:type="paragraph" w:customStyle="1" w:styleId="ASDEFCONOption">
    <w:name w:val="ASDEFCON Option"/>
    <w:basedOn w:val="ASDEFCONNormal"/>
    <w:rsid w:val="009745FF"/>
    <w:pPr>
      <w:keepNext/>
      <w:spacing w:before="60"/>
    </w:pPr>
    <w:rPr>
      <w:b/>
      <w:i/>
      <w:szCs w:val="24"/>
    </w:rPr>
  </w:style>
  <w:style w:type="paragraph" w:customStyle="1" w:styleId="NoteToDrafters-ASDEFCON">
    <w:name w:val="Note To Drafters - ASDEFCON"/>
    <w:basedOn w:val="ASDEFCONNormal"/>
    <w:rsid w:val="009745FF"/>
    <w:pPr>
      <w:keepNext/>
      <w:shd w:val="clear" w:color="auto" w:fill="000000"/>
    </w:pPr>
    <w:rPr>
      <w:b/>
      <w:i/>
      <w:color w:val="FFFFFF"/>
    </w:rPr>
  </w:style>
  <w:style w:type="paragraph" w:customStyle="1" w:styleId="NoteToTenderers-ASDEFCON">
    <w:name w:val="Note To Tenderers - ASDEFCON"/>
    <w:basedOn w:val="ASDEFCONNormal"/>
    <w:rsid w:val="009745FF"/>
    <w:pPr>
      <w:keepNext/>
      <w:shd w:val="pct15" w:color="auto" w:fill="auto"/>
    </w:pPr>
    <w:rPr>
      <w:b/>
      <w:i/>
    </w:rPr>
  </w:style>
  <w:style w:type="paragraph" w:customStyle="1" w:styleId="ASDEFCONTitle">
    <w:name w:val="ASDEFCON Title"/>
    <w:basedOn w:val="Normal"/>
    <w:rsid w:val="009745FF"/>
    <w:pPr>
      <w:keepLines/>
      <w:spacing w:before="240"/>
      <w:jc w:val="center"/>
    </w:pPr>
    <w:rPr>
      <w:b/>
      <w:caps/>
    </w:rPr>
  </w:style>
  <w:style w:type="paragraph" w:customStyle="1" w:styleId="ATTANNLV1-ASDEFCON">
    <w:name w:val="ATT/ANN LV1 - ASDEFCON"/>
    <w:basedOn w:val="ASDEFCONNormal"/>
    <w:next w:val="ATTANNLV2-ASDEFCON"/>
    <w:rsid w:val="009745FF"/>
    <w:pPr>
      <w:keepNext/>
      <w:keepLines/>
      <w:numPr>
        <w:numId w:val="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9745FF"/>
    <w:pPr>
      <w:numPr>
        <w:ilvl w:val="1"/>
        <w:numId w:val="4"/>
      </w:numPr>
    </w:pPr>
    <w:rPr>
      <w:szCs w:val="24"/>
    </w:rPr>
  </w:style>
  <w:style w:type="character" w:customStyle="1" w:styleId="ATTANNLV2-ASDEFCONChar">
    <w:name w:val="ATT/ANN LV2 - ASDEFCON Char"/>
    <w:link w:val="ATTANNLV2-ASDEFCON"/>
    <w:rsid w:val="009745FF"/>
    <w:rPr>
      <w:rFonts w:ascii="Arial" w:hAnsi="Arial"/>
      <w:color w:val="000000"/>
      <w:szCs w:val="24"/>
    </w:rPr>
  </w:style>
  <w:style w:type="paragraph" w:customStyle="1" w:styleId="ATTANNLV3-ASDEFCON">
    <w:name w:val="ATT/ANN LV3 - ASDEFCON"/>
    <w:basedOn w:val="ASDEFCONNormal"/>
    <w:rsid w:val="009745FF"/>
    <w:pPr>
      <w:numPr>
        <w:ilvl w:val="2"/>
        <w:numId w:val="4"/>
      </w:numPr>
    </w:pPr>
    <w:rPr>
      <w:szCs w:val="24"/>
    </w:rPr>
  </w:style>
  <w:style w:type="paragraph" w:customStyle="1" w:styleId="ATTANNLV4-ASDEFCON">
    <w:name w:val="ATT/ANN LV4 - ASDEFCON"/>
    <w:basedOn w:val="ASDEFCONNormal"/>
    <w:rsid w:val="009745FF"/>
    <w:pPr>
      <w:numPr>
        <w:ilvl w:val="3"/>
        <w:numId w:val="4"/>
      </w:numPr>
    </w:pPr>
    <w:rPr>
      <w:szCs w:val="24"/>
    </w:rPr>
  </w:style>
  <w:style w:type="paragraph" w:customStyle="1" w:styleId="ASDEFCONCoverTitle">
    <w:name w:val="ASDEFCON Cover Title"/>
    <w:rsid w:val="009745FF"/>
    <w:pPr>
      <w:jc w:val="center"/>
    </w:pPr>
    <w:rPr>
      <w:rFonts w:ascii="Georgia" w:hAnsi="Georgia"/>
      <w:b/>
      <w:color w:val="000000"/>
      <w:sz w:val="100"/>
      <w:szCs w:val="24"/>
    </w:rPr>
  </w:style>
  <w:style w:type="paragraph" w:customStyle="1" w:styleId="ASDEFCONHeaderFooterLeft">
    <w:name w:val="ASDEFCON Header/Footer Left"/>
    <w:basedOn w:val="ASDEFCONNormal"/>
    <w:rsid w:val="009745FF"/>
    <w:pPr>
      <w:spacing w:after="0"/>
      <w:jc w:val="left"/>
    </w:pPr>
    <w:rPr>
      <w:sz w:val="16"/>
      <w:szCs w:val="24"/>
    </w:rPr>
  </w:style>
  <w:style w:type="paragraph" w:customStyle="1" w:styleId="ASDEFCONCoverPageIncorp">
    <w:name w:val="ASDEFCON Cover Page Incorp"/>
    <w:rsid w:val="009745FF"/>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9745FF"/>
    <w:rPr>
      <w:b/>
      <w:i/>
    </w:rPr>
  </w:style>
  <w:style w:type="paragraph" w:customStyle="1" w:styleId="COTCOCLV2NONUM-ASDEFCON">
    <w:name w:val="COT/COC LV2 NONUM - ASDEFCON"/>
    <w:basedOn w:val="COTCOCLV2-ASDEFCON"/>
    <w:next w:val="COTCOCLV3-ASDEFCON"/>
    <w:rsid w:val="009745FF"/>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9745FF"/>
    <w:pPr>
      <w:keepNext w:val="0"/>
      <w:numPr>
        <w:numId w:val="0"/>
      </w:numPr>
      <w:ind w:left="851"/>
    </w:pPr>
    <w:rPr>
      <w:bCs/>
      <w:szCs w:val="20"/>
    </w:rPr>
  </w:style>
  <w:style w:type="paragraph" w:customStyle="1" w:styleId="COTCOCLV3NONUM-ASDEFCON">
    <w:name w:val="COT/COC LV3 NONUM - ASDEFCON"/>
    <w:basedOn w:val="COTCOCLV3-ASDEFCON"/>
    <w:next w:val="COTCOCLV3-ASDEFCON"/>
    <w:rsid w:val="009745FF"/>
    <w:pPr>
      <w:numPr>
        <w:ilvl w:val="0"/>
        <w:numId w:val="0"/>
      </w:numPr>
      <w:ind w:left="851"/>
    </w:pPr>
    <w:rPr>
      <w:szCs w:val="20"/>
    </w:rPr>
  </w:style>
  <w:style w:type="paragraph" w:customStyle="1" w:styleId="COTCOCLV4NONUM-ASDEFCON">
    <w:name w:val="COT/COC LV4 NONUM - ASDEFCON"/>
    <w:basedOn w:val="COTCOCLV4-ASDEFCON"/>
    <w:next w:val="COTCOCLV4-ASDEFCON"/>
    <w:rsid w:val="009745FF"/>
    <w:pPr>
      <w:numPr>
        <w:ilvl w:val="0"/>
        <w:numId w:val="0"/>
      </w:numPr>
      <w:ind w:left="1418"/>
    </w:pPr>
    <w:rPr>
      <w:szCs w:val="20"/>
    </w:rPr>
  </w:style>
  <w:style w:type="paragraph" w:customStyle="1" w:styleId="COTCOCLV5NONUM-ASDEFCON">
    <w:name w:val="COT/COC LV5 NONUM - ASDEFCON"/>
    <w:basedOn w:val="COTCOCLV5-ASDEFCON"/>
    <w:next w:val="COTCOCLV5-ASDEFCON"/>
    <w:rsid w:val="009745FF"/>
    <w:pPr>
      <w:numPr>
        <w:ilvl w:val="0"/>
        <w:numId w:val="0"/>
      </w:numPr>
      <w:ind w:left="1985"/>
    </w:pPr>
    <w:rPr>
      <w:szCs w:val="20"/>
    </w:rPr>
  </w:style>
  <w:style w:type="paragraph" w:customStyle="1" w:styleId="COTCOCLV6NONUM-ASDEFCON">
    <w:name w:val="COT/COC LV6 NONUM - ASDEFCON"/>
    <w:basedOn w:val="COTCOCLV6-ASDEFCON"/>
    <w:next w:val="COTCOCLV6-ASDEFCON"/>
    <w:rsid w:val="009745FF"/>
    <w:pPr>
      <w:numPr>
        <w:ilvl w:val="0"/>
        <w:numId w:val="0"/>
      </w:numPr>
      <w:ind w:left="2552"/>
    </w:pPr>
    <w:rPr>
      <w:szCs w:val="20"/>
    </w:rPr>
  </w:style>
  <w:style w:type="paragraph" w:customStyle="1" w:styleId="ATTANNLV1NONUM-ASDEFCON">
    <w:name w:val="ATT/ANN LV1 NONUM - ASDEFCON"/>
    <w:basedOn w:val="ATTANNLV1-ASDEFCON"/>
    <w:next w:val="ATTANNLV2-ASDEFCON"/>
    <w:rsid w:val="009745FF"/>
    <w:pPr>
      <w:numPr>
        <w:numId w:val="0"/>
      </w:numPr>
      <w:ind w:left="851"/>
    </w:pPr>
    <w:rPr>
      <w:bCs/>
      <w:szCs w:val="20"/>
    </w:rPr>
  </w:style>
  <w:style w:type="paragraph" w:customStyle="1" w:styleId="ATTANNLV2NONUM-ASDEFCON">
    <w:name w:val="ATT/ANN LV2 NONUM - ASDEFCON"/>
    <w:basedOn w:val="ATTANNLV2-ASDEFCON"/>
    <w:next w:val="ATTANNLV2-ASDEFCON"/>
    <w:rsid w:val="009745FF"/>
    <w:pPr>
      <w:numPr>
        <w:ilvl w:val="0"/>
        <w:numId w:val="0"/>
      </w:numPr>
      <w:ind w:left="851"/>
    </w:pPr>
    <w:rPr>
      <w:szCs w:val="20"/>
    </w:rPr>
  </w:style>
  <w:style w:type="paragraph" w:customStyle="1" w:styleId="ATTANNLV3NONUM-ASDEFCON">
    <w:name w:val="ATT/ANN LV3 NONUM - ASDEFCON"/>
    <w:basedOn w:val="ATTANNLV3-ASDEFCON"/>
    <w:next w:val="ATTANNLV3-ASDEFCON"/>
    <w:rsid w:val="009745FF"/>
    <w:pPr>
      <w:numPr>
        <w:ilvl w:val="0"/>
        <w:numId w:val="0"/>
      </w:numPr>
      <w:ind w:left="1418"/>
    </w:pPr>
    <w:rPr>
      <w:szCs w:val="20"/>
    </w:rPr>
  </w:style>
  <w:style w:type="paragraph" w:customStyle="1" w:styleId="ATTANNLV4NONUM-ASDEFCON">
    <w:name w:val="ATT/ANN LV4 NONUM - ASDEFCON"/>
    <w:basedOn w:val="ATTANNLV4-ASDEFCON"/>
    <w:next w:val="ATTANNLV4-ASDEFCON"/>
    <w:rsid w:val="009745FF"/>
    <w:pPr>
      <w:numPr>
        <w:ilvl w:val="0"/>
        <w:numId w:val="0"/>
      </w:numPr>
      <w:ind w:left="1985"/>
    </w:pPr>
    <w:rPr>
      <w:szCs w:val="20"/>
    </w:rPr>
  </w:style>
  <w:style w:type="paragraph" w:customStyle="1" w:styleId="NoteToDraftersBullets-ASDEFCON">
    <w:name w:val="Note To Drafters Bullets - ASDEFCON"/>
    <w:basedOn w:val="NoteToDrafters-ASDEFCON"/>
    <w:rsid w:val="009745FF"/>
    <w:pPr>
      <w:numPr>
        <w:numId w:val="5"/>
      </w:numPr>
    </w:pPr>
    <w:rPr>
      <w:bCs/>
      <w:iCs/>
      <w:szCs w:val="20"/>
    </w:rPr>
  </w:style>
  <w:style w:type="paragraph" w:customStyle="1" w:styleId="NoteToDraftersList-ASDEFCON">
    <w:name w:val="Note To Drafters List - ASDEFCON"/>
    <w:basedOn w:val="NoteToDrafters-ASDEFCON"/>
    <w:rsid w:val="009745FF"/>
    <w:pPr>
      <w:numPr>
        <w:numId w:val="6"/>
      </w:numPr>
    </w:pPr>
    <w:rPr>
      <w:bCs/>
      <w:iCs/>
      <w:szCs w:val="20"/>
    </w:rPr>
  </w:style>
  <w:style w:type="paragraph" w:customStyle="1" w:styleId="NoteToTenderersBullets-ASDEFCON">
    <w:name w:val="Note To Tenderers Bullets - ASDEFCON"/>
    <w:basedOn w:val="NoteToTenderers-ASDEFCON"/>
    <w:rsid w:val="009745FF"/>
    <w:pPr>
      <w:numPr>
        <w:numId w:val="7"/>
      </w:numPr>
    </w:pPr>
    <w:rPr>
      <w:bCs/>
      <w:iCs/>
      <w:szCs w:val="20"/>
    </w:rPr>
  </w:style>
  <w:style w:type="paragraph" w:customStyle="1" w:styleId="NoteToTenderersList-ASDEFCON">
    <w:name w:val="Note To Tenderers List - ASDEFCON"/>
    <w:basedOn w:val="NoteToTenderers-ASDEFCON"/>
    <w:rsid w:val="009745FF"/>
    <w:pPr>
      <w:numPr>
        <w:numId w:val="8"/>
      </w:numPr>
    </w:pPr>
    <w:rPr>
      <w:bCs/>
      <w:iCs/>
      <w:szCs w:val="20"/>
    </w:rPr>
  </w:style>
  <w:style w:type="paragraph" w:customStyle="1" w:styleId="SOWHL1-ASDEFCON">
    <w:name w:val="SOW HL1 - ASDEFCON"/>
    <w:basedOn w:val="ASDEFCONNormal"/>
    <w:next w:val="SOWHL2-ASDEFCON"/>
    <w:qFormat/>
    <w:rsid w:val="009745FF"/>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9745FF"/>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9745FF"/>
    <w:pPr>
      <w:keepNext/>
      <w:numPr>
        <w:ilvl w:val="2"/>
        <w:numId w:val="2"/>
      </w:numPr>
    </w:pPr>
    <w:rPr>
      <w:rFonts w:eastAsia="Calibri"/>
      <w:b/>
      <w:szCs w:val="22"/>
      <w:lang w:eastAsia="en-US"/>
    </w:rPr>
  </w:style>
  <w:style w:type="paragraph" w:customStyle="1" w:styleId="SOWHL4-ASDEFCON">
    <w:name w:val="SOW HL4 - ASDEFCON"/>
    <w:basedOn w:val="ASDEFCONNormal"/>
    <w:qFormat/>
    <w:rsid w:val="009745FF"/>
    <w:pPr>
      <w:keepNext/>
      <w:numPr>
        <w:ilvl w:val="3"/>
        <w:numId w:val="2"/>
      </w:numPr>
    </w:pPr>
    <w:rPr>
      <w:rFonts w:eastAsia="Calibri"/>
      <w:b/>
      <w:szCs w:val="22"/>
      <w:lang w:eastAsia="en-US"/>
    </w:rPr>
  </w:style>
  <w:style w:type="paragraph" w:customStyle="1" w:styleId="SOWHL5-ASDEFCON">
    <w:name w:val="SOW HL5 - ASDEFCON"/>
    <w:basedOn w:val="ASDEFCONNormal"/>
    <w:qFormat/>
    <w:rsid w:val="009745FF"/>
    <w:pPr>
      <w:keepNext/>
      <w:numPr>
        <w:ilvl w:val="4"/>
        <w:numId w:val="2"/>
      </w:numPr>
    </w:pPr>
    <w:rPr>
      <w:rFonts w:eastAsia="Calibri"/>
      <w:b/>
      <w:szCs w:val="22"/>
      <w:lang w:eastAsia="en-US"/>
    </w:rPr>
  </w:style>
  <w:style w:type="paragraph" w:customStyle="1" w:styleId="SOWSubL1-ASDEFCON">
    <w:name w:val="SOW SubL1 - ASDEFCON"/>
    <w:basedOn w:val="ASDEFCONNormal"/>
    <w:qFormat/>
    <w:rsid w:val="009745FF"/>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9745FF"/>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9745FF"/>
    <w:pPr>
      <w:numPr>
        <w:ilvl w:val="0"/>
        <w:numId w:val="0"/>
      </w:numPr>
      <w:ind w:left="1134"/>
    </w:pPr>
    <w:rPr>
      <w:rFonts w:eastAsia="Times New Roman"/>
      <w:bCs/>
      <w:szCs w:val="20"/>
    </w:rPr>
  </w:style>
  <w:style w:type="paragraph" w:customStyle="1" w:styleId="SOWTL2-ASDEFCON">
    <w:name w:val="SOW TL2 - ASDEFCON"/>
    <w:basedOn w:val="SOWHL2-ASDEFCON"/>
    <w:rsid w:val="009745FF"/>
    <w:pPr>
      <w:keepNext w:val="0"/>
      <w:pBdr>
        <w:bottom w:val="none" w:sz="0" w:space="0" w:color="auto"/>
      </w:pBdr>
    </w:pPr>
    <w:rPr>
      <w:b w:val="0"/>
    </w:rPr>
  </w:style>
  <w:style w:type="paragraph" w:customStyle="1" w:styleId="SOWTL3NONUM-ASDEFCON">
    <w:name w:val="SOW TL3 NONUM - ASDEFCON"/>
    <w:basedOn w:val="SOWTL3-ASDEFCON"/>
    <w:next w:val="SOWTL3-ASDEFCON"/>
    <w:rsid w:val="009745FF"/>
    <w:pPr>
      <w:numPr>
        <w:ilvl w:val="0"/>
        <w:numId w:val="0"/>
      </w:numPr>
      <w:ind w:left="1134"/>
    </w:pPr>
    <w:rPr>
      <w:rFonts w:eastAsia="Times New Roman"/>
      <w:bCs/>
      <w:szCs w:val="20"/>
    </w:rPr>
  </w:style>
  <w:style w:type="paragraph" w:customStyle="1" w:styleId="SOWTL3-ASDEFCON">
    <w:name w:val="SOW TL3 - ASDEFCON"/>
    <w:basedOn w:val="SOWHL3-ASDEFCON"/>
    <w:rsid w:val="009745FF"/>
    <w:pPr>
      <w:keepNext w:val="0"/>
    </w:pPr>
    <w:rPr>
      <w:b w:val="0"/>
    </w:rPr>
  </w:style>
  <w:style w:type="paragraph" w:customStyle="1" w:styleId="SOWTL4NONUM-ASDEFCON">
    <w:name w:val="SOW TL4 NONUM - ASDEFCON"/>
    <w:basedOn w:val="SOWTL4-ASDEFCON"/>
    <w:next w:val="SOWTL4-ASDEFCON"/>
    <w:rsid w:val="009745FF"/>
    <w:pPr>
      <w:numPr>
        <w:ilvl w:val="0"/>
        <w:numId w:val="0"/>
      </w:numPr>
      <w:ind w:left="1134"/>
    </w:pPr>
    <w:rPr>
      <w:rFonts w:eastAsia="Times New Roman"/>
      <w:bCs/>
      <w:szCs w:val="20"/>
    </w:rPr>
  </w:style>
  <w:style w:type="paragraph" w:customStyle="1" w:styleId="SOWTL4-ASDEFCON">
    <w:name w:val="SOW TL4 - ASDEFCON"/>
    <w:basedOn w:val="SOWHL4-ASDEFCON"/>
    <w:rsid w:val="009745FF"/>
    <w:pPr>
      <w:keepNext w:val="0"/>
    </w:pPr>
    <w:rPr>
      <w:b w:val="0"/>
    </w:rPr>
  </w:style>
  <w:style w:type="paragraph" w:customStyle="1" w:styleId="SOWTL5NONUM-ASDEFCON">
    <w:name w:val="SOW TL5 NONUM - ASDEFCON"/>
    <w:basedOn w:val="SOWHL5-ASDEFCON"/>
    <w:next w:val="SOWTL5-ASDEFCON"/>
    <w:rsid w:val="009745FF"/>
    <w:pPr>
      <w:keepNext w:val="0"/>
      <w:numPr>
        <w:ilvl w:val="0"/>
        <w:numId w:val="0"/>
      </w:numPr>
      <w:ind w:left="1134"/>
    </w:pPr>
    <w:rPr>
      <w:b w:val="0"/>
    </w:rPr>
  </w:style>
  <w:style w:type="paragraph" w:customStyle="1" w:styleId="SOWTL5-ASDEFCON">
    <w:name w:val="SOW TL5 - ASDEFCON"/>
    <w:basedOn w:val="SOWHL5-ASDEFCON"/>
    <w:rsid w:val="009745FF"/>
    <w:pPr>
      <w:keepNext w:val="0"/>
    </w:pPr>
    <w:rPr>
      <w:b w:val="0"/>
    </w:rPr>
  </w:style>
  <w:style w:type="paragraph" w:customStyle="1" w:styleId="SOWSubL2-ASDEFCON">
    <w:name w:val="SOW SubL2 - ASDEFCON"/>
    <w:basedOn w:val="ASDEFCONNormal"/>
    <w:qFormat/>
    <w:rsid w:val="009745FF"/>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9745FF"/>
    <w:pPr>
      <w:numPr>
        <w:numId w:val="0"/>
      </w:numPr>
      <w:ind w:left="1701"/>
    </w:pPr>
  </w:style>
  <w:style w:type="paragraph" w:customStyle="1" w:styleId="SOWSubL2NONUM-ASDEFCON">
    <w:name w:val="SOW SubL2 NONUM - ASDEFCON"/>
    <w:basedOn w:val="SOWSubL2-ASDEFCON"/>
    <w:next w:val="SOWSubL2-ASDEFCON"/>
    <w:qFormat/>
    <w:rsid w:val="009745FF"/>
    <w:pPr>
      <w:numPr>
        <w:ilvl w:val="0"/>
        <w:numId w:val="0"/>
      </w:numPr>
      <w:ind w:left="2268"/>
    </w:pPr>
  </w:style>
  <w:style w:type="paragraph" w:styleId="FootnoteText">
    <w:name w:val="footnote text"/>
    <w:basedOn w:val="Normal"/>
    <w:semiHidden/>
    <w:rsid w:val="009745FF"/>
    <w:rPr>
      <w:szCs w:val="20"/>
    </w:rPr>
  </w:style>
  <w:style w:type="paragraph" w:customStyle="1" w:styleId="ASDEFCONTextBlock">
    <w:name w:val="ASDEFCON TextBlock"/>
    <w:basedOn w:val="ASDEFCONNormal"/>
    <w:qFormat/>
    <w:rsid w:val="009745FF"/>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9745FF"/>
    <w:pPr>
      <w:numPr>
        <w:numId w:val="10"/>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9745FF"/>
    <w:pPr>
      <w:keepNext/>
      <w:spacing w:before="240"/>
    </w:pPr>
    <w:rPr>
      <w:rFonts w:ascii="Arial Bold" w:hAnsi="Arial Bold"/>
      <w:b/>
      <w:bCs/>
      <w:caps/>
      <w:szCs w:val="20"/>
    </w:rPr>
  </w:style>
  <w:style w:type="paragraph" w:customStyle="1" w:styleId="Table8ptHeading-ASDEFCON">
    <w:name w:val="Table 8pt Heading - ASDEFCON"/>
    <w:basedOn w:val="ASDEFCONNormal"/>
    <w:rsid w:val="009745FF"/>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9745FF"/>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9745FF"/>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9745FF"/>
    <w:rPr>
      <w:rFonts w:ascii="Arial" w:eastAsia="Calibri" w:hAnsi="Arial"/>
      <w:color w:val="000000"/>
      <w:szCs w:val="22"/>
      <w:lang w:eastAsia="en-US"/>
    </w:rPr>
  </w:style>
  <w:style w:type="paragraph" w:customStyle="1" w:styleId="Table8ptSub1-ASDEFCON">
    <w:name w:val="Table 8pt Sub1 - ASDEFCON"/>
    <w:basedOn w:val="Table8ptText-ASDEFCON"/>
    <w:rsid w:val="009745FF"/>
    <w:pPr>
      <w:numPr>
        <w:ilvl w:val="1"/>
      </w:numPr>
    </w:pPr>
  </w:style>
  <w:style w:type="paragraph" w:customStyle="1" w:styleId="Table8ptSub2-ASDEFCON">
    <w:name w:val="Table 8pt Sub2 - ASDEFCON"/>
    <w:basedOn w:val="Table8ptText-ASDEFCON"/>
    <w:rsid w:val="009745FF"/>
    <w:pPr>
      <w:numPr>
        <w:ilvl w:val="2"/>
      </w:numPr>
    </w:pPr>
  </w:style>
  <w:style w:type="paragraph" w:customStyle="1" w:styleId="Table10ptHeading-ASDEFCON">
    <w:name w:val="Table 10pt Heading - ASDEFCON"/>
    <w:basedOn w:val="ASDEFCONNormal"/>
    <w:rsid w:val="009745FF"/>
    <w:pPr>
      <w:keepNext/>
      <w:spacing w:before="60" w:after="60"/>
      <w:jc w:val="center"/>
    </w:pPr>
    <w:rPr>
      <w:b/>
    </w:rPr>
  </w:style>
  <w:style w:type="paragraph" w:customStyle="1" w:styleId="Table8ptBP1-ASDEFCON">
    <w:name w:val="Table 8pt BP1 - ASDEFCON"/>
    <w:basedOn w:val="Table8ptText-ASDEFCON"/>
    <w:rsid w:val="009745FF"/>
    <w:pPr>
      <w:numPr>
        <w:numId w:val="11"/>
      </w:numPr>
      <w:tabs>
        <w:tab w:val="clear" w:pos="284"/>
      </w:tabs>
    </w:pPr>
  </w:style>
  <w:style w:type="paragraph" w:customStyle="1" w:styleId="Table8ptBP2-ASDEFCON">
    <w:name w:val="Table 8pt BP2 - ASDEFCON"/>
    <w:basedOn w:val="Table8ptText-ASDEFCON"/>
    <w:rsid w:val="009745FF"/>
    <w:pPr>
      <w:numPr>
        <w:ilvl w:val="1"/>
        <w:numId w:val="11"/>
      </w:numPr>
      <w:tabs>
        <w:tab w:val="clear" w:pos="284"/>
      </w:tabs>
    </w:pPr>
    <w:rPr>
      <w:iCs/>
    </w:rPr>
  </w:style>
  <w:style w:type="paragraph" w:customStyle="1" w:styleId="ASDEFCONBulletsLV1">
    <w:name w:val="ASDEFCON Bullets LV1"/>
    <w:basedOn w:val="ASDEFCONNormal"/>
    <w:rsid w:val="009745FF"/>
    <w:pPr>
      <w:numPr>
        <w:numId w:val="13"/>
      </w:numPr>
    </w:pPr>
    <w:rPr>
      <w:rFonts w:eastAsia="Calibri"/>
      <w:szCs w:val="22"/>
      <w:lang w:eastAsia="en-US"/>
    </w:rPr>
  </w:style>
  <w:style w:type="paragraph" w:customStyle="1" w:styleId="Table10ptSub1-ASDEFCON">
    <w:name w:val="Table 10pt Sub1 - ASDEFCON"/>
    <w:basedOn w:val="Table10ptText-ASDEFCON"/>
    <w:rsid w:val="009745FF"/>
    <w:pPr>
      <w:numPr>
        <w:ilvl w:val="1"/>
      </w:numPr>
      <w:jc w:val="both"/>
    </w:pPr>
  </w:style>
  <w:style w:type="paragraph" w:customStyle="1" w:styleId="Table10ptSub2-ASDEFCON">
    <w:name w:val="Table 10pt Sub2 - ASDEFCON"/>
    <w:basedOn w:val="Table10ptText-ASDEFCON"/>
    <w:rsid w:val="009745FF"/>
    <w:pPr>
      <w:numPr>
        <w:ilvl w:val="2"/>
      </w:numPr>
      <w:jc w:val="both"/>
    </w:pPr>
  </w:style>
  <w:style w:type="paragraph" w:customStyle="1" w:styleId="ASDEFCONBulletsLV2">
    <w:name w:val="ASDEFCON Bullets LV2"/>
    <w:basedOn w:val="ASDEFCONNormal"/>
    <w:rsid w:val="009745FF"/>
    <w:pPr>
      <w:numPr>
        <w:numId w:val="1"/>
      </w:numPr>
    </w:pPr>
  </w:style>
  <w:style w:type="paragraph" w:customStyle="1" w:styleId="Table10ptBP1-ASDEFCON">
    <w:name w:val="Table 10pt BP1 - ASDEFCON"/>
    <w:basedOn w:val="ASDEFCONNormal"/>
    <w:rsid w:val="009745FF"/>
    <w:pPr>
      <w:numPr>
        <w:numId w:val="17"/>
      </w:numPr>
      <w:spacing w:before="60" w:after="60"/>
    </w:pPr>
  </w:style>
  <w:style w:type="paragraph" w:customStyle="1" w:styleId="Table10ptBP2-ASDEFCON">
    <w:name w:val="Table 10pt BP2 - ASDEFCON"/>
    <w:basedOn w:val="ASDEFCONNormal"/>
    <w:link w:val="Table10ptBP2-ASDEFCONCharChar"/>
    <w:rsid w:val="009745FF"/>
    <w:pPr>
      <w:numPr>
        <w:ilvl w:val="1"/>
        <w:numId w:val="17"/>
      </w:numPr>
      <w:spacing w:before="60" w:after="60"/>
    </w:pPr>
  </w:style>
  <w:style w:type="character" w:customStyle="1" w:styleId="Table10ptBP2-ASDEFCONCharChar">
    <w:name w:val="Table 10pt BP2 - ASDEFCON Char Char"/>
    <w:link w:val="Table10ptBP2-ASDEFCON"/>
    <w:rsid w:val="009745FF"/>
    <w:rPr>
      <w:rFonts w:ascii="Arial" w:hAnsi="Arial"/>
      <w:color w:val="000000"/>
      <w:szCs w:val="40"/>
    </w:rPr>
  </w:style>
  <w:style w:type="paragraph" w:customStyle="1" w:styleId="GuideMarginHead-ASDEFCON">
    <w:name w:val="Guide Margin Head - ASDEFCON"/>
    <w:basedOn w:val="ASDEFCONNormal"/>
    <w:rsid w:val="009745FF"/>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9745FF"/>
    <w:pPr>
      <w:ind w:left="1680"/>
    </w:pPr>
    <w:rPr>
      <w:lang w:eastAsia="en-US"/>
    </w:rPr>
  </w:style>
  <w:style w:type="paragraph" w:customStyle="1" w:styleId="GuideSublistLv1-ASDEFCON">
    <w:name w:val="Guide Sublist Lv1 - ASDEFCON"/>
    <w:basedOn w:val="ASDEFCONNormal"/>
    <w:qFormat/>
    <w:rsid w:val="009745FF"/>
    <w:pPr>
      <w:numPr>
        <w:numId w:val="21"/>
      </w:numPr>
    </w:pPr>
    <w:rPr>
      <w:rFonts w:eastAsia="Calibri"/>
      <w:szCs w:val="22"/>
      <w:lang w:eastAsia="en-US"/>
    </w:rPr>
  </w:style>
  <w:style w:type="paragraph" w:customStyle="1" w:styleId="GuideBullets-ASDEFCON">
    <w:name w:val="Guide Bullets - ASDEFCON"/>
    <w:basedOn w:val="ASDEFCONNormal"/>
    <w:rsid w:val="009745FF"/>
    <w:pPr>
      <w:numPr>
        <w:ilvl w:val="6"/>
        <w:numId w:val="12"/>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9745FF"/>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9745FF"/>
    <w:pPr>
      <w:keepNext/>
      <w:spacing w:before="240"/>
    </w:pPr>
    <w:rPr>
      <w:rFonts w:eastAsia="Calibri"/>
      <w:b/>
      <w:caps/>
      <w:szCs w:val="20"/>
      <w:lang w:eastAsia="en-US"/>
    </w:rPr>
  </w:style>
  <w:style w:type="paragraph" w:customStyle="1" w:styleId="ASDEFCONSublist">
    <w:name w:val="ASDEFCON Sublist"/>
    <w:basedOn w:val="ASDEFCONNormal"/>
    <w:rsid w:val="009745FF"/>
    <w:pPr>
      <w:numPr>
        <w:numId w:val="22"/>
      </w:numPr>
    </w:pPr>
    <w:rPr>
      <w:iCs/>
    </w:rPr>
  </w:style>
  <w:style w:type="paragraph" w:customStyle="1" w:styleId="ASDEFCONRecitals">
    <w:name w:val="ASDEFCON Recitals"/>
    <w:basedOn w:val="ASDEFCONNormal"/>
    <w:link w:val="ASDEFCONRecitalsCharChar"/>
    <w:rsid w:val="009745FF"/>
    <w:pPr>
      <w:numPr>
        <w:numId w:val="14"/>
      </w:numPr>
    </w:pPr>
  </w:style>
  <w:style w:type="character" w:customStyle="1" w:styleId="ASDEFCONRecitalsCharChar">
    <w:name w:val="ASDEFCON Recitals Char Char"/>
    <w:link w:val="ASDEFCONRecitals"/>
    <w:rsid w:val="009745FF"/>
    <w:rPr>
      <w:rFonts w:ascii="Arial" w:hAnsi="Arial"/>
      <w:color w:val="000000"/>
      <w:szCs w:val="40"/>
    </w:rPr>
  </w:style>
  <w:style w:type="paragraph" w:customStyle="1" w:styleId="NoteList-ASDEFCON">
    <w:name w:val="Note List - ASDEFCON"/>
    <w:basedOn w:val="ASDEFCONNormal"/>
    <w:rsid w:val="009745FF"/>
    <w:pPr>
      <w:numPr>
        <w:numId w:val="15"/>
      </w:numPr>
    </w:pPr>
    <w:rPr>
      <w:b/>
      <w:bCs/>
      <w:i/>
    </w:rPr>
  </w:style>
  <w:style w:type="paragraph" w:customStyle="1" w:styleId="NoteBullets-ASDEFCON">
    <w:name w:val="Note Bullets - ASDEFCON"/>
    <w:basedOn w:val="ASDEFCONNormal"/>
    <w:rsid w:val="009745FF"/>
    <w:pPr>
      <w:numPr>
        <w:numId w:val="16"/>
      </w:numPr>
    </w:pPr>
    <w:rPr>
      <w:b/>
      <w:i/>
    </w:rPr>
  </w:style>
  <w:style w:type="paragraph" w:styleId="Caption">
    <w:name w:val="caption"/>
    <w:basedOn w:val="Normal"/>
    <w:next w:val="Normal"/>
    <w:qFormat/>
    <w:rsid w:val="009745FF"/>
    <w:pPr>
      <w:jc w:val="center"/>
    </w:pPr>
    <w:rPr>
      <w:b/>
      <w:bCs/>
      <w:szCs w:val="20"/>
    </w:rPr>
  </w:style>
  <w:style w:type="paragraph" w:customStyle="1" w:styleId="ASDEFCONOperativePartListLV1">
    <w:name w:val="ASDEFCON Operative Part List LV1"/>
    <w:basedOn w:val="ASDEFCONNormal"/>
    <w:rsid w:val="009745FF"/>
    <w:pPr>
      <w:numPr>
        <w:numId w:val="18"/>
      </w:numPr>
    </w:pPr>
    <w:rPr>
      <w:iCs/>
    </w:rPr>
  </w:style>
  <w:style w:type="paragraph" w:customStyle="1" w:styleId="ASDEFCONOperativePartListLV2">
    <w:name w:val="ASDEFCON Operative Part List LV2"/>
    <w:basedOn w:val="ASDEFCONOperativePartListLV1"/>
    <w:rsid w:val="009745FF"/>
    <w:pPr>
      <w:numPr>
        <w:ilvl w:val="1"/>
      </w:numPr>
    </w:pPr>
  </w:style>
  <w:style w:type="paragraph" w:customStyle="1" w:styleId="ASDEFCONOptionSpace">
    <w:name w:val="ASDEFCON Option Space"/>
    <w:basedOn w:val="ASDEFCONNormal"/>
    <w:rsid w:val="009745FF"/>
    <w:pPr>
      <w:spacing w:after="0"/>
    </w:pPr>
    <w:rPr>
      <w:bCs/>
      <w:color w:val="FFFFFF"/>
      <w:sz w:val="8"/>
    </w:rPr>
  </w:style>
  <w:style w:type="paragraph" w:customStyle="1" w:styleId="ATTANNReferencetoCOC">
    <w:name w:val="ATT/ANN Reference to COC"/>
    <w:basedOn w:val="ASDEFCONNormal"/>
    <w:rsid w:val="009745FF"/>
    <w:pPr>
      <w:keepNext/>
      <w:jc w:val="right"/>
    </w:pPr>
    <w:rPr>
      <w:i/>
      <w:iCs/>
      <w:szCs w:val="20"/>
    </w:rPr>
  </w:style>
  <w:style w:type="paragraph" w:customStyle="1" w:styleId="ASDEFCONHeaderFooterCenter">
    <w:name w:val="ASDEFCON Header/Footer Center"/>
    <w:basedOn w:val="ASDEFCONHeaderFooterLeft"/>
    <w:rsid w:val="009745FF"/>
    <w:pPr>
      <w:jc w:val="center"/>
    </w:pPr>
    <w:rPr>
      <w:szCs w:val="20"/>
    </w:rPr>
  </w:style>
  <w:style w:type="paragraph" w:customStyle="1" w:styleId="ASDEFCONHeaderFooterRight">
    <w:name w:val="ASDEFCON Header/Footer Right"/>
    <w:basedOn w:val="ASDEFCONHeaderFooterLeft"/>
    <w:rsid w:val="009745FF"/>
    <w:pPr>
      <w:jc w:val="right"/>
    </w:pPr>
    <w:rPr>
      <w:szCs w:val="20"/>
    </w:rPr>
  </w:style>
  <w:style w:type="paragraph" w:customStyle="1" w:styleId="ASDEFCONHeaderFooterClassification">
    <w:name w:val="ASDEFCON Header/Footer Classification"/>
    <w:basedOn w:val="ASDEFCONHeaderFooterLeft"/>
    <w:rsid w:val="009745FF"/>
    <w:pPr>
      <w:jc w:val="center"/>
    </w:pPr>
    <w:rPr>
      <w:rFonts w:ascii="Arial Bold" w:hAnsi="Arial Bold"/>
      <w:b/>
      <w:bCs/>
      <w:caps/>
      <w:sz w:val="20"/>
    </w:rPr>
  </w:style>
  <w:style w:type="paragraph" w:customStyle="1" w:styleId="GuideLV3Head-ASDEFCON">
    <w:name w:val="Guide LV3 Head - ASDEFCON"/>
    <w:basedOn w:val="ASDEFCONNormal"/>
    <w:rsid w:val="009745FF"/>
    <w:pPr>
      <w:keepNext/>
    </w:pPr>
    <w:rPr>
      <w:rFonts w:eastAsia="Calibri"/>
      <w:b/>
      <w:szCs w:val="22"/>
      <w:lang w:eastAsia="en-US"/>
    </w:rPr>
  </w:style>
  <w:style w:type="paragraph" w:customStyle="1" w:styleId="GuideSublistLv2-ASDEFCON">
    <w:name w:val="Guide Sublist Lv2 - ASDEFCON"/>
    <w:basedOn w:val="ASDEFCONNormal"/>
    <w:rsid w:val="009745FF"/>
    <w:pPr>
      <w:numPr>
        <w:ilvl w:val="1"/>
        <w:numId w:val="21"/>
      </w:numPr>
    </w:pPr>
  </w:style>
  <w:style w:type="paragraph" w:styleId="CommentSubject">
    <w:name w:val="annotation subject"/>
    <w:basedOn w:val="CommentText"/>
    <w:next w:val="CommentText"/>
    <w:semiHidden/>
    <w:rsid w:val="0048158A"/>
    <w:rPr>
      <w:b/>
      <w:bCs/>
      <w:szCs w:val="20"/>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9745FF"/>
    <w:rPr>
      <w:rFonts w:ascii="Georgia" w:hAnsi="Georgia"/>
      <w:b/>
      <w:bCs/>
      <w:color w:val="CF4520"/>
      <w:sz w:val="28"/>
      <w:szCs w:val="26"/>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uiPriority w:val="9"/>
    <w:rsid w:val="009745FF"/>
    <w:rPr>
      <w:rFonts w:ascii="Arial" w:hAnsi="Arial"/>
      <w:b/>
      <w:bCs/>
      <w:i/>
      <w:color w:val="CF4520"/>
      <w:sz w:val="24"/>
      <w:szCs w:val="24"/>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rsid w:val="009745FF"/>
    <w:rPr>
      <w:rFonts w:ascii="Arial" w:hAnsi="Arial"/>
      <w:b/>
      <w:bCs/>
      <w:i/>
      <w:iCs/>
      <w:szCs w:val="24"/>
    </w:rPr>
  </w:style>
  <w:style w:type="character" w:customStyle="1" w:styleId="Heading5Char">
    <w:name w:val="Heading 5 Char"/>
    <w:aliases w:val="Para5 Char,5 sub-bullet Char,sb Char,4 Char,Spare1 Char,Level 3 - (i) Char,(i) Char,(i)1 Char,Level 3 - (i)1 Char,i. Char,1.1.1.1.1 Char"/>
    <w:link w:val="Heading5"/>
    <w:rsid w:val="00601B12"/>
    <w:rPr>
      <w:rFonts w:ascii="Arial" w:hAnsi="Arial"/>
      <w:sz w:val="22"/>
      <w:szCs w:val="24"/>
    </w:rPr>
  </w:style>
  <w:style w:type="character" w:customStyle="1" w:styleId="Heading6Char">
    <w:name w:val="Heading 6 Char"/>
    <w:aliases w:val="sub-dash Char,sd Char,5 Char,Spare2 Char,A. Char,Heading 6 (a) Char,Smart 2000 Char"/>
    <w:link w:val="Heading6"/>
    <w:rsid w:val="00601B12"/>
    <w:rPr>
      <w:rFonts w:ascii="Arial" w:hAnsi="Arial"/>
      <w:i/>
      <w:sz w:val="22"/>
      <w:szCs w:val="24"/>
    </w:rPr>
  </w:style>
  <w:style w:type="character" w:customStyle="1" w:styleId="Heading7Char">
    <w:name w:val="Heading 7 Char"/>
    <w:aliases w:val="Spare3 Char"/>
    <w:link w:val="Heading7"/>
    <w:rsid w:val="00601B12"/>
    <w:rPr>
      <w:rFonts w:ascii="Arial" w:hAnsi="Arial"/>
      <w:szCs w:val="24"/>
    </w:rPr>
  </w:style>
  <w:style w:type="character" w:customStyle="1" w:styleId="Heading8Char">
    <w:name w:val="Heading 8 Char"/>
    <w:aliases w:val="Spare4 Char,(A) Char"/>
    <w:link w:val="Heading8"/>
    <w:rsid w:val="00601B12"/>
    <w:rPr>
      <w:rFonts w:ascii="Arial" w:hAnsi="Arial"/>
      <w:i/>
      <w:szCs w:val="24"/>
    </w:rPr>
  </w:style>
  <w:style w:type="character" w:customStyle="1" w:styleId="Heading9Char">
    <w:name w:val="Heading 9 Char"/>
    <w:aliases w:val="Spare5 Char,HAPPY Char,I Char"/>
    <w:link w:val="Heading9"/>
    <w:rsid w:val="00601B12"/>
    <w:rPr>
      <w:rFonts w:ascii="Arial" w:hAnsi="Arial"/>
      <w:i/>
      <w:sz w:val="18"/>
      <w:szCs w:val="24"/>
    </w:rPr>
  </w:style>
  <w:style w:type="character" w:styleId="Hyperlink">
    <w:name w:val="Hyperlink"/>
    <w:uiPriority w:val="99"/>
    <w:unhideWhenUsed/>
    <w:rsid w:val="009745FF"/>
    <w:rPr>
      <w:color w:val="0000FF"/>
      <w:u w:val="single"/>
    </w:rPr>
  </w:style>
  <w:style w:type="paragraph" w:styleId="TOC4">
    <w:name w:val="toc 4"/>
    <w:basedOn w:val="Normal"/>
    <w:next w:val="Normal"/>
    <w:autoRedefine/>
    <w:rsid w:val="009745FF"/>
    <w:pPr>
      <w:spacing w:after="100"/>
      <w:ind w:left="600"/>
    </w:pPr>
  </w:style>
  <w:style w:type="paragraph" w:styleId="TOC5">
    <w:name w:val="toc 5"/>
    <w:basedOn w:val="Normal"/>
    <w:next w:val="Normal"/>
    <w:autoRedefine/>
    <w:rsid w:val="009745FF"/>
    <w:pPr>
      <w:spacing w:after="100"/>
      <w:ind w:left="800"/>
    </w:pPr>
  </w:style>
  <w:style w:type="paragraph" w:styleId="TOC6">
    <w:name w:val="toc 6"/>
    <w:basedOn w:val="Normal"/>
    <w:next w:val="Normal"/>
    <w:autoRedefine/>
    <w:rsid w:val="009745FF"/>
    <w:pPr>
      <w:spacing w:after="100"/>
      <w:ind w:left="1000"/>
    </w:pPr>
  </w:style>
  <w:style w:type="paragraph" w:styleId="TOC7">
    <w:name w:val="toc 7"/>
    <w:basedOn w:val="Normal"/>
    <w:next w:val="Normal"/>
    <w:autoRedefine/>
    <w:rsid w:val="009745FF"/>
    <w:pPr>
      <w:spacing w:after="100"/>
      <w:ind w:left="1200"/>
    </w:pPr>
  </w:style>
  <w:style w:type="paragraph" w:styleId="TOC8">
    <w:name w:val="toc 8"/>
    <w:basedOn w:val="Normal"/>
    <w:next w:val="Normal"/>
    <w:autoRedefine/>
    <w:rsid w:val="009745FF"/>
    <w:pPr>
      <w:spacing w:after="100"/>
      <w:ind w:left="1400"/>
    </w:pPr>
  </w:style>
  <w:style w:type="paragraph" w:styleId="TOC9">
    <w:name w:val="toc 9"/>
    <w:basedOn w:val="Normal"/>
    <w:next w:val="Normal"/>
    <w:autoRedefine/>
    <w:rsid w:val="009745FF"/>
    <w:pPr>
      <w:spacing w:after="100"/>
      <w:ind w:left="1600"/>
    </w:pPr>
  </w:style>
  <w:style w:type="paragraph" w:styleId="TOCHeading">
    <w:name w:val="TOC Heading"/>
    <w:basedOn w:val="Heading1"/>
    <w:next w:val="Normal"/>
    <w:uiPriority w:val="39"/>
    <w:semiHidden/>
    <w:unhideWhenUsed/>
    <w:qFormat/>
    <w:rsid w:val="000F1A55"/>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link w:val="Heading1"/>
    <w:locked/>
    <w:rsid w:val="009745FF"/>
    <w:rPr>
      <w:rFonts w:ascii="Georgia" w:hAnsi="Georgia" w:cs="Arial"/>
      <w:b/>
      <w:bCs/>
      <w:color w:val="CF4520"/>
      <w:kern w:val="32"/>
      <w:sz w:val="32"/>
      <w:szCs w:val="32"/>
    </w:rPr>
  </w:style>
  <w:style w:type="paragraph" w:customStyle="1" w:styleId="ASDEFCONList">
    <w:name w:val="ASDEFCON List"/>
    <w:basedOn w:val="ASDEFCONNormal"/>
    <w:qFormat/>
    <w:rsid w:val="009745FF"/>
    <w:pPr>
      <w:numPr>
        <w:numId w:val="25"/>
      </w:numPr>
    </w:pPr>
  </w:style>
  <w:style w:type="paragraph" w:styleId="Subtitle">
    <w:name w:val="Subtitle"/>
    <w:basedOn w:val="Normal"/>
    <w:next w:val="Normal"/>
    <w:link w:val="SubtitleChar"/>
    <w:uiPriority w:val="99"/>
    <w:qFormat/>
    <w:rsid w:val="009745FF"/>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9745FF"/>
    <w:rPr>
      <w:i/>
      <w:color w:val="003760"/>
      <w:spacing w:val="15"/>
    </w:rPr>
  </w:style>
  <w:style w:type="paragraph" w:customStyle="1" w:styleId="StyleTitleGeorgiaNotBoldLeft">
    <w:name w:val="Style Title + Georgia Not Bold Left"/>
    <w:basedOn w:val="Title"/>
    <w:qFormat/>
    <w:rsid w:val="009745FF"/>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9745FF"/>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9745FF"/>
    <w:rPr>
      <w:rFonts w:ascii="Calibri Light" w:hAnsi="Calibri Light"/>
      <w:b/>
      <w:bCs/>
      <w:kern w:val="28"/>
      <w:sz w:val="32"/>
      <w:szCs w:val="32"/>
    </w:rPr>
  </w:style>
  <w:style w:type="paragraph" w:customStyle="1" w:styleId="Bullet">
    <w:name w:val="Bullet"/>
    <w:basedOn w:val="ListParagraph"/>
    <w:qFormat/>
    <w:rsid w:val="009745FF"/>
    <w:pPr>
      <w:tabs>
        <w:tab w:val="left" w:pos="567"/>
        <w:tab w:val="num" w:pos="720"/>
      </w:tabs>
      <w:ind w:hanging="720"/>
      <w:jc w:val="left"/>
    </w:pPr>
  </w:style>
  <w:style w:type="paragraph" w:styleId="ListParagraph">
    <w:name w:val="List Paragraph"/>
    <w:basedOn w:val="Normal"/>
    <w:uiPriority w:val="34"/>
    <w:qFormat/>
    <w:rsid w:val="009745FF"/>
    <w:pPr>
      <w:spacing w:after="0"/>
      <w:ind w:left="720"/>
    </w:pPr>
  </w:style>
  <w:style w:type="paragraph" w:customStyle="1" w:styleId="Bullet2">
    <w:name w:val="Bullet 2"/>
    <w:basedOn w:val="Normal"/>
    <w:rsid w:val="009745FF"/>
    <w:pPr>
      <w:numPr>
        <w:numId w:val="45"/>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193</TotalTime>
  <Pages>5</Pages>
  <Words>1783</Words>
  <Characters>10646</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DID-PM-TRANS-CTXP</vt:lpstr>
    </vt:vector>
  </TitlesOfParts>
  <Manager>CASG</Manager>
  <Company>Defence</Company>
  <LinksUpToDate>false</LinksUpToDate>
  <CharactersWithSpaces>12405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DID-PM-TRANS-CTXP</dc:title>
  <dc:subject>Contractor Transition Plan</dc:subject>
  <dc:creator>ASDEFCON SOW Policy</dc:creator>
  <cp:keywords>Contractor Transition Plan, CTXP, Transition</cp:keywords>
  <cp:lastModifiedBy>DAE2-</cp:lastModifiedBy>
  <cp:revision>35</cp:revision>
  <cp:lastPrinted>2009-09-28T01:31:00Z</cp:lastPrinted>
  <dcterms:created xsi:type="dcterms:W3CDTF">2018-02-12T23:39:00Z</dcterms:created>
  <dcterms:modified xsi:type="dcterms:W3CDTF">2024-08-21T21:46:00Z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BM56363804</vt:lpwstr>
  </property>
  <property fmtid="{D5CDD505-2E9C-101B-9397-08002B2CF9AE}" pid="4" name="Objective-Title">
    <vt:lpwstr>DID-PM-TRANS-CTXP-V5.3</vt:lpwstr>
  </property>
  <property fmtid="{D5CDD505-2E9C-101B-9397-08002B2CF9AE}" pid="5" name="Objective-Comment">
    <vt:lpwstr/>
  </property>
  <property fmtid="{D5CDD505-2E9C-101B-9397-08002B2CF9AE}" pid="6" name="Objective-CreationStamp">
    <vt:filetime>2023-02-13T23:59:23Z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2024-08-21T21:44:55Z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05 PM DIDs</vt:lpwstr>
  </property>
  <property fmtid="{D5CDD505-2E9C-101B-9397-08002B2CF9AE}" pid="14" name="Objective-State">
    <vt:lpwstr>Being Edited</vt:lpwstr>
  </property>
  <property fmtid="{D5CDD505-2E9C-101B-9397-08002B2CF9AE}" pid="15" name="Objective-Version">
    <vt:lpwstr>2.1</vt:lpwstr>
  </property>
  <property fmtid="{D5CDD505-2E9C-101B-9397-08002B2CF9AE}" pid="16" name="Objective-VersionNumber">
    <vt:i4>3</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