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0D5F9B" w14:textId="77777777" w:rsidR="007D2C8C" w:rsidRPr="00F56717" w:rsidRDefault="007D2C8C" w:rsidP="004F4F48">
      <w:pPr>
        <w:pStyle w:val="ASDEFCONTitle"/>
      </w:pPr>
      <w:bookmarkStart w:id="0" w:name="_GoBack"/>
      <w:bookmarkEnd w:id="0"/>
      <w:r w:rsidRPr="00F56717">
        <w:t>D</w:t>
      </w:r>
      <w:bookmarkStart w:id="1" w:name="_Ref442071221"/>
      <w:bookmarkEnd w:id="1"/>
      <w:r w:rsidRPr="00F56717">
        <w:t>ATA ITEM DESCRIPTION</w:t>
      </w:r>
    </w:p>
    <w:p w14:paraId="0319792E" w14:textId="5A6D2799" w:rsidR="007D2C8C" w:rsidRPr="00A76DD0" w:rsidRDefault="007D2C8C" w:rsidP="004F4F48">
      <w:pPr>
        <w:pStyle w:val="SOWHL1-ASDEFCON"/>
      </w:pPr>
      <w:bookmarkStart w:id="2" w:name="_Toc515805636"/>
      <w:r>
        <w:t>DID NUMBER:</w:t>
      </w:r>
      <w:bookmarkStart w:id="3" w:name="_Toc515805637"/>
      <w:r>
        <w:tab/>
      </w:r>
      <w:r w:rsidR="00CF7CFC">
        <w:fldChar w:fldCharType="begin"/>
      </w:r>
      <w:r w:rsidR="00CF7CFC">
        <w:instrText xml:space="preserve"> TITLE   \* MERGEFORMAT </w:instrText>
      </w:r>
      <w:r w:rsidR="00CF7CFC">
        <w:fldChar w:fldCharType="separate"/>
      </w:r>
      <w:r w:rsidR="00BD735E">
        <w:t>DID-PM-AIC-ASTDL</w:t>
      </w:r>
      <w:r w:rsidR="00CF7CFC">
        <w:fldChar w:fldCharType="end"/>
      </w:r>
      <w:r w:rsidR="00DE07DC">
        <w:t>-</w:t>
      </w:r>
      <w:r w:rsidR="00CF7CFC">
        <w:fldChar w:fldCharType="begin"/>
      </w:r>
      <w:r w:rsidR="00CF7CFC">
        <w:instrText xml:space="preserve"> DOCPROPERTY Version </w:instrText>
      </w:r>
      <w:r w:rsidR="00CF7CFC">
        <w:fldChar w:fldCharType="separate"/>
      </w:r>
      <w:r w:rsidR="001751B2">
        <w:t>V5.3</w:t>
      </w:r>
      <w:r w:rsidR="00CF7CFC">
        <w:fldChar w:fldCharType="end"/>
      </w:r>
    </w:p>
    <w:p w14:paraId="034A9236" w14:textId="1676B0F7" w:rsidR="007D2C8C" w:rsidRDefault="007D2C8C" w:rsidP="005014F9">
      <w:pPr>
        <w:pStyle w:val="SOWHL1-ASDEFCON"/>
      </w:pPr>
      <w:r>
        <w:t>TITLE:</w:t>
      </w:r>
      <w:r>
        <w:tab/>
      </w:r>
      <w:bookmarkEnd w:id="3"/>
      <w:r w:rsidR="0083447A">
        <w:t>ANZ</w:t>
      </w:r>
      <w:r w:rsidR="004005A5">
        <w:t xml:space="preserve"> </w:t>
      </w:r>
      <w:r w:rsidR="001B6984">
        <w:t xml:space="preserve">Subcontractor Technical </w:t>
      </w:r>
      <w:r>
        <w:t>DATA LIST</w:t>
      </w:r>
      <w:bookmarkStart w:id="4" w:name="_Toc515805639"/>
    </w:p>
    <w:p w14:paraId="5ED7D372" w14:textId="77777777" w:rsidR="007D2C8C" w:rsidRDefault="007D2C8C" w:rsidP="005014F9">
      <w:pPr>
        <w:pStyle w:val="SOWHL1-ASDEFCON"/>
      </w:pPr>
      <w:r>
        <w:t>DESCRIPTION and intended use</w:t>
      </w:r>
      <w:bookmarkEnd w:id="4"/>
    </w:p>
    <w:p w14:paraId="7EA04B1B" w14:textId="6404ED9C" w:rsidR="00793409" w:rsidRDefault="007D2C8C" w:rsidP="00990082">
      <w:pPr>
        <w:pStyle w:val="SOWTL2-ASDEFCON"/>
        <w:rPr>
          <w:color w:val="auto"/>
        </w:rPr>
      </w:pPr>
      <w:bookmarkStart w:id="5" w:name="_Ref48464853"/>
      <w:r w:rsidRPr="00E849C4">
        <w:rPr>
          <w:color w:val="auto"/>
        </w:rPr>
        <w:t xml:space="preserve">The </w:t>
      </w:r>
      <w:r w:rsidR="00980367" w:rsidRPr="00E849C4">
        <w:rPr>
          <w:color w:val="auto"/>
        </w:rPr>
        <w:t xml:space="preserve">Australia </w:t>
      </w:r>
      <w:r w:rsidR="0083447A">
        <w:rPr>
          <w:color w:val="auto"/>
        </w:rPr>
        <w:t xml:space="preserve">and New Zealand (ANZ) </w:t>
      </w:r>
      <w:r w:rsidR="008A4939" w:rsidRPr="00E849C4">
        <w:rPr>
          <w:color w:val="auto"/>
        </w:rPr>
        <w:t>Subcontractor Technical Data List (</w:t>
      </w:r>
      <w:r w:rsidR="00980367" w:rsidRPr="00E849C4">
        <w:rPr>
          <w:color w:val="auto"/>
        </w:rPr>
        <w:t>AS</w:t>
      </w:r>
      <w:r w:rsidR="008A4939" w:rsidRPr="00E849C4">
        <w:rPr>
          <w:color w:val="auto"/>
        </w:rPr>
        <w:t xml:space="preserve">TDL) </w:t>
      </w:r>
      <w:r w:rsidR="00151578" w:rsidRPr="00E849C4">
        <w:rPr>
          <w:color w:val="auto"/>
        </w:rPr>
        <w:t>is</w:t>
      </w:r>
      <w:r w:rsidRPr="00E849C4">
        <w:rPr>
          <w:color w:val="auto"/>
        </w:rPr>
        <w:t xml:space="preserve"> an index of </w:t>
      </w:r>
      <w:r w:rsidR="00752BED">
        <w:rPr>
          <w:color w:val="auto"/>
        </w:rPr>
        <w:t>Technical Data</w:t>
      </w:r>
      <w:r w:rsidRPr="00E849C4">
        <w:rPr>
          <w:color w:val="auto"/>
        </w:rPr>
        <w:t xml:space="preserve"> </w:t>
      </w:r>
      <w:r w:rsidR="003312BD">
        <w:rPr>
          <w:color w:val="auto"/>
        </w:rPr>
        <w:t xml:space="preserve">(TD) </w:t>
      </w:r>
      <w:r w:rsidR="008A4939" w:rsidRPr="00E849C4">
        <w:rPr>
          <w:color w:val="auto"/>
        </w:rPr>
        <w:t xml:space="preserve">provided to </w:t>
      </w:r>
      <w:r w:rsidR="0083447A">
        <w:rPr>
          <w:color w:val="auto"/>
        </w:rPr>
        <w:t>ANZ</w:t>
      </w:r>
      <w:r w:rsidR="00EC129C" w:rsidRPr="00E849C4">
        <w:rPr>
          <w:color w:val="auto"/>
        </w:rPr>
        <w:t xml:space="preserve"> </w:t>
      </w:r>
      <w:r w:rsidR="003C6DBB" w:rsidRPr="00E849C4">
        <w:rPr>
          <w:color w:val="auto"/>
        </w:rPr>
        <w:t>Subcontractors</w:t>
      </w:r>
      <w:r w:rsidR="00793409">
        <w:rPr>
          <w:color w:val="auto"/>
        </w:rPr>
        <w:t xml:space="preserve"> by the Contractor</w:t>
      </w:r>
      <w:r w:rsidR="002C4FD6">
        <w:rPr>
          <w:color w:val="auto"/>
        </w:rPr>
        <w:t>,</w:t>
      </w:r>
      <w:r w:rsidR="00793409">
        <w:rPr>
          <w:color w:val="auto"/>
        </w:rPr>
        <w:t xml:space="preserve"> or other Subcontractors</w:t>
      </w:r>
      <w:r w:rsidR="00204C53">
        <w:rPr>
          <w:color w:val="auto"/>
        </w:rPr>
        <w:t>,</w:t>
      </w:r>
      <w:r w:rsidR="009B4B15" w:rsidRPr="00E849C4">
        <w:rPr>
          <w:color w:val="auto"/>
        </w:rPr>
        <w:t xml:space="preserve"> </w:t>
      </w:r>
      <w:r w:rsidR="00730DE9" w:rsidRPr="00E849C4">
        <w:rPr>
          <w:color w:val="auto"/>
        </w:rPr>
        <w:t>to</w:t>
      </w:r>
      <w:r w:rsidR="00793409">
        <w:rPr>
          <w:color w:val="auto"/>
        </w:rPr>
        <w:t>:</w:t>
      </w:r>
      <w:bookmarkEnd w:id="5"/>
    </w:p>
    <w:p w14:paraId="791AE7F8" w14:textId="4244F142" w:rsidR="00793409" w:rsidRDefault="00730DE9" w:rsidP="00793409">
      <w:pPr>
        <w:pStyle w:val="SOWSubL1-ASDEFCON"/>
      </w:pPr>
      <w:r w:rsidRPr="00E849C4">
        <w:t xml:space="preserve">enable </w:t>
      </w:r>
      <w:r w:rsidR="004005A5">
        <w:t xml:space="preserve">Subcontractors within </w:t>
      </w:r>
      <w:r w:rsidR="00204C53" w:rsidRPr="00E849C4">
        <w:t xml:space="preserve">Australian Industry </w:t>
      </w:r>
      <w:r w:rsidR="00EC129C" w:rsidRPr="00E849C4">
        <w:t xml:space="preserve">to </w:t>
      </w:r>
      <w:r w:rsidR="00793409">
        <w:t xml:space="preserve">undertake particular activities </w:t>
      </w:r>
      <w:r w:rsidR="004005A5">
        <w:t>under</w:t>
      </w:r>
      <w:r w:rsidR="00793409">
        <w:t xml:space="preserve"> the Co</w:t>
      </w:r>
      <w:r w:rsidR="00EE6520">
        <w:t>ntract</w:t>
      </w:r>
      <w:r w:rsidR="000D6BE0">
        <w:t xml:space="preserve"> </w:t>
      </w:r>
      <w:r w:rsidR="004005A5">
        <w:t xml:space="preserve">in relation to the </w:t>
      </w:r>
      <w:r w:rsidR="000D6BE0">
        <w:t xml:space="preserve">Australian Industry </w:t>
      </w:r>
      <w:r w:rsidR="004005A5">
        <w:t xml:space="preserve">Capability </w:t>
      </w:r>
      <w:r w:rsidR="000D6BE0">
        <w:t>(AI</w:t>
      </w:r>
      <w:r w:rsidR="004005A5">
        <w:t>C</w:t>
      </w:r>
      <w:r w:rsidR="000D6BE0">
        <w:t>)</w:t>
      </w:r>
      <w:r w:rsidR="004005A5">
        <w:t xml:space="preserve"> program</w:t>
      </w:r>
      <w:r w:rsidR="00EE6520">
        <w:t>;</w:t>
      </w:r>
    </w:p>
    <w:p w14:paraId="2631930B" w14:textId="3B3B9086" w:rsidR="00EE6520" w:rsidRDefault="00793409" w:rsidP="00793409">
      <w:pPr>
        <w:pStyle w:val="SOWSubL1-ASDEFCON"/>
      </w:pPr>
      <w:r>
        <w:t xml:space="preserve">establish, enhance or sustain </w:t>
      </w:r>
      <w:r w:rsidR="00EE6520">
        <w:t>Industr</w:t>
      </w:r>
      <w:r w:rsidR="002E3D68">
        <w:t>ial</w:t>
      </w:r>
      <w:r w:rsidR="00EE6520">
        <w:t xml:space="preserve"> Capabilities</w:t>
      </w:r>
      <w:r>
        <w:t xml:space="preserve"> </w:t>
      </w:r>
      <w:r w:rsidR="002C4FD6">
        <w:t>with</w:t>
      </w:r>
      <w:r w:rsidR="00D62FC1">
        <w:t xml:space="preserve">in Australia </w:t>
      </w:r>
      <w:r>
        <w:t>relating to the Supplies (</w:t>
      </w:r>
      <w:proofErr w:type="spellStart"/>
      <w:r>
        <w:t>eg</w:t>
      </w:r>
      <w:proofErr w:type="spellEnd"/>
      <w:r>
        <w:t xml:space="preserve">, to </w:t>
      </w:r>
      <w:r w:rsidR="00EE6520">
        <w:t>en</w:t>
      </w:r>
      <w:r>
        <w:t xml:space="preserve">able </w:t>
      </w:r>
      <w:r w:rsidR="00EE6520">
        <w:t xml:space="preserve">an Australian Entity </w:t>
      </w:r>
      <w:r>
        <w:t xml:space="preserve">to undertake through-life support </w:t>
      </w:r>
      <w:r w:rsidR="00442F03">
        <w:t xml:space="preserve">(including, if applicable, under the Contract (Support)) </w:t>
      </w:r>
      <w:r w:rsidR="00D62FC1">
        <w:t xml:space="preserve">in Australia </w:t>
      </w:r>
      <w:r w:rsidR="00442F03">
        <w:t xml:space="preserve">and/or New Zealand </w:t>
      </w:r>
      <w:r>
        <w:t>of particular products delivered under the Contract)</w:t>
      </w:r>
      <w:r w:rsidR="00EE6520">
        <w:t>; and/or</w:t>
      </w:r>
    </w:p>
    <w:p w14:paraId="40E38A10" w14:textId="7488BA9B" w:rsidR="00793409" w:rsidRDefault="00EE6520" w:rsidP="00793409">
      <w:pPr>
        <w:pStyle w:val="SOWSubL1-ASDEFCON"/>
      </w:pPr>
      <w:r>
        <w:t xml:space="preserve">enable the Contractor to meet its AIC Obligations and to </w:t>
      </w:r>
      <w:r w:rsidR="002C4FD6">
        <w:t xml:space="preserve">achieve </w:t>
      </w:r>
      <w:r>
        <w:t>the AIC Objectives</w:t>
      </w:r>
      <w:r w:rsidR="00730DE9" w:rsidRPr="00E849C4">
        <w:t>.</w:t>
      </w:r>
    </w:p>
    <w:p w14:paraId="18D7A53D" w14:textId="6D723DE9" w:rsidR="007D2C8C" w:rsidRPr="00E849C4" w:rsidRDefault="00204C53" w:rsidP="00793409">
      <w:pPr>
        <w:pStyle w:val="SOWTL2NONUM-ASDEFCON"/>
      </w:pPr>
      <w:r>
        <w:t>The</w:t>
      </w:r>
      <w:r w:rsidR="00536654" w:rsidRPr="00E849C4">
        <w:t xml:space="preserve"> </w:t>
      </w:r>
      <w:r w:rsidR="003312BD">
        <w:t xml:space="preserve">TD </w:t>
      </w:r>
      <w:r w:rsidR="00793409">
        <w:t>identified in the ASTDL</w:t>
      </w:r>
      <w:r w:rsidR="00793409" w:rsidRPr="00E849C4">
        <w:t xml:space="preserve"> </w:t>
      </w:r>
      <w:r w:rsidR="00151578" w:rsidRPr="00E849C4">
        <w:t>may be</w:t>
      </w:r>
      <w:r w:rsidR="007D2C8C" w:rsidRPr="00E849C4">
        <w:t xml:space="preserve"> identified </w:t>
      </w:r>
      <w:r w:rsidR="002C4FD6" w:rsidRPr="00E849C4">
        <w:t xml:space="preserve">elsewhere in the Contract </w:t>
      </w:r>
      <w:r w:rsidRPr="00E849C4">
        <w:t>for delivery to the Commonwealth</w:t>
      </w:r>
      <w:r w:rsidR="00793409">
        <w:t>;</w:t>
      </w:r>
      <w:r w:rsidRPr="00E849C4">
        <w:t xml:space="preserve"> </w:t>
      </w:r>
      <w:r w:rsidR="002D4CB4" w:rsidRPr="00E849C4">
        <w:t>however</w:t>
      </w:r>
      <w:r w:rsidR="00793409">
        <w:t>,</w:t>
      </w:r>
      <w:r w:rsidR="002D4CB4" w:rsidRPr="00E849C4">
        <w:t xml:space="preserve"> </w:t>
      </w:r>
      <w:r w:rsidR="00E849C4" w:rsidRPr="00E849C4">
        <w:t xml:space="preserve">the ASTDL </w:t>
      </w:r>
      <w:r w:rsidR="002C4FD6">
        <w:t xml:space="preserve">identifies </w:t>
      </w:r>
      <w:r w:rsidR="00E849C4" w:rsidRPr="00E849C4">
        <w:t xml:space="preserve">Intellectual Property (IP) and </w:t>
      </w:r>
      <w:r w:rsidR="00107540">
        <w:t xml:space="preserve">any </w:t>
      </w:r>
      <w:r w:rsidR="00E849C4" w:rsidRPr="00E849C4">
        <w:t xml:space="preserve">other restrictions relating to </w:t>
      </w:r>
      <w:r w:rsidR="00EE6520">
        <w:t xml:space="preserve">the </w:t>
      </w:r>
      <w:r w:rsidR="00E849C4" w:rsidRPr="00E849C4">
        <w:t xml:space="preserve">use of the </w:t>
      </w:r>
      <w:r w:rsidR="003312BD">
        <w:t>TD</w:t>
      </w:r>
      <w:r w:rsidR="00793409">
        <w:t xml:space="preserve"> by the Subcontractor </w:t>
      </w:r>
      <w:r w:rsidR="00EE6520">
        <w:t xml:space="preserve">receiving the </w:t>
      </w:r>
      <w:r w:rsidR="003312BD">
        <w:t>TD</w:t>
      </w:r>
      <w:r w:rsidR="007D2C8C" w:rsidRPr="00E849C4">
        <w:t>.</w:t>
      </w:r>
    </w:p>
    <w:p w14:paraId="0227AE9E" w14:textId="20948D0C" w:rsidR="001130B3" w:rsidRDefault="007D2C8C" w:rsidP="00204C53">
      <w:pPr>
        <w:pStyle w:val="SOWTL2-ASDEFCON"/>
        <w:rPr>
          <w:color w:val="auto"/>
        </w:rPr>
      </w:pPr>
      <w:r w:rsidRPr="00E849C4">
        <w:rPr>
          <w:color w:val="auto"/>
        </w:rPr>
        <w:t xml:space="preserve">The Contractor uses the </w:t>
      </w:r>
      <w:r w:rsidR="00980367" w:rsidRPr="00E849C4">
        <w:rPr>
          <w:color w:val="auto"/>
        </w:rPr>
        <w:t xml:space="preserve">ASTDL </w:t>
      </w:r>
      <w:r w:rsidRPr="00E849C4">
        <w:rPr>
          <w:color w:val="auto"/>
        </w:rPr>
        <w:t>to</w:t>
      </w:r>
      <w:r w:rsidR="001130B3">
        <w:rPr>
          <w:color w:val="auto"/>
        </w:rPr>
        <w:t>:</w:t>
      </w:r>
    </w:p>
    <w:p w14:paraId="46B2064D" w14:textId="2467E5AD" w:rsidR="001130B3" w:rsidRDefault="001130B3" w:rsidP="001130B3">
      <w:pPr>
        <w:pStyle w:val="SOWSubL1-ASDEFCON"/>
      </w:pPr>
      <w:r>
        <w:t>advise</w:t>
      </w:r>
      <w:r w:rsidRPr="00E849C4">
        <w:t xml:space="preserve"> </w:t>
      </w:r>
      <w:r w:rsidR="007D2C8C" w:rsidRPr="00E849C4">
        <w:t xml:space="preserve">the Commonwealth of </w:t>
      </w:r>
      <w:r>
        <w:t xml:space="preserve">the </w:t>
      </w:r>
      <w:r w:rsidR="003312BD">
        <w:t>TD</w:t>
      </w:r>
      <w:r w:rsidR="009B4B15" w:rsidRPr="00E849C4">
        <w:t xml:space="preserve"> that is</w:t>
      </w:r>
      <w:r w:rsidR="00107540">
        <w:t xml:space="preserve"> to be delivered by the Contractor </w:t>
      </w:r>
      <w:r w:rsidR="00EE6520">
        <w:t xml:space="preserve">or </w:t>
      </w:r>
      <w:r w:rsidR="00793409">
        <w:t xml:space="preserve">other Subcontractors </w:t>
      </w:r>
      <w:r w:rsidR="00107540">
        <w:t xml:space="preserve">to </w:t>
      </w:r>
      <w:r w:rsidR="0083447A">
        <w:t>ANZ</w:t>
      </w:r>
      <w:r w:rsidR="00793409">
        <w:t xml:space="preserve"> </w:t>
      </w:r>
      <w:r w:rsidR="00107540">
        <w:t>Subcontractors</w:t>
      </w:r>
      <w:r>
        <w:t xml:space="preserve">, including the </w:t>
      </w:r>
      <w:r w:rsidR="002C4FD6">
        <w:t xml:space="preserve">related </w:t>
      </w:r>
      <w:r>
        <w:t>IP rights;</w:t>
      </w:r>
      <w:r w:rsidR="00D802D7">
        <w:t xml:space="preserve"> and</w:t>
      </w:r>
    </w:p>
    <w:p w14:paraId="23EAC56B" w14:textId="182213A0" w:rsidR="007D2C8C" w:rsidRPr="00E849C4" w:rsidRDefault="001130B3" w:rsidP="001130B3">
      <w:pPr>
        <w:pStyle w:val="SOWSubL1-ASDEFCON"/>
      </w:pPr>
      <w:r>
        <w:t>provide assurance to the Commonwealth that the AIC Obligations and the AIC Objectives</w:t>
      </w:r>
      <w:r w:rsidR="009E4E0D" w:rsidRPr="009E4E0D">
        <w:t xml:space="preserve"> </w:t>
      </w:r>
      <w:r w:rsidR="009E4E0D">
        <w:t>will be</w:t>
      </w:r>
      <w:r>
        <w:t xml:space="preserve">, </w:t>
      </w:r>
      <w:r w:rsidR="009E4E0D">
        <w:t xml:space="preserve">and </w:t>
      </w:r>
      <w:r>
        <w:t>are being, achieved</w:t>
      </w:r>
      <w:r w:rsidR="007D2C8C" w:rsidRPr="00E849C4">
        <w:t>.</w:t>
      </w:r>
    </w:p>
    <w:p w14:paraId="7864B494" w14:textId="6AF689A4" w:rsidR="00D61960" w:rsidRDefault="007D2C8C" w:rsidP="005014F9">
      <w:pPr>
        <w:pStyle w:val="SOWTL2-ASDEFCON"/>
        <w:rPr>
          <w:color w:val="auto"/>
        </w:rPr>
      </w:pPr>
      <w:r w:rsidRPr="000965E7">
        <w:rPr>
          <w:color w:val="auto"/>
        </w:rPr>
        <w:t xml:space="preserve">The Commonwealth uses the </w:t>
      </w:r>
      <w:r w:rsidR="00107540" w:rsidRPr="000965E7">
        <w:rPr>
          <w:color w:val="auto"/>
        </w:rPr>
        <w:t>ASTDL</w:t>
      </w:r>
      <w:r w:rsidRPr="000965E7">
        <w:rPr>
          <w:color w:val="auto"/>
        </w:rPr>
        <w:t xml:space="preserve"> </w:t>
      </w:r>
      <w:r w:rsidR="000965E7">
        <w:rPr>
          <w:color w:val="auto"/>
        </w:rPr>
        <w:t>to</w:t>
      </w:r>
      <w:r w:rsidR="00D61960">
        <w:rPr>
          <w:color w:val="auto"/>
        </w:rPr>
        <w:t>:</w:t>
      </w:r>
    </w:p>
    <w:p w14:paraId="402889E2" w14:textId="43A0F0CB" w:rsidR="00D61960" w:rsidRDefault="002C4FD6" w:rsidP="00D61960">
      <w:pPr>
        <w:pStyle w:val="SOWSubL1-ASDEFCON"/>
      </w:pPr>
      <w:r>
        <w:rPr>
          <w:color w:val="auto"/>
        </w:rPr>
        <w:t>gain</w:t>
      </w:r>
      <w:r>
        <w:t xml:space="preserve"> </w:t>
      </w:r>
      <w:r w:rsidR="000965E7">
        <w:t>an</w:t>
      </w:r>
      <w:r w:rsidR="009F3687" w:rsidRPr="000965E7">
        <w:t xml:space="preserve"> </w:t>
      </w:r>
      <w:r w:rsidR="000965E7" w:rsidRPr="000965E7">
        <w:t xml:space="preserve">understanding </w:t>
      </w:r>
      <w:r w:rsidR="000965E7">
        <w:t xml:space="preserve">of, </w:t>
      </w:r>
      <w:r w:rsidR="000965E7" w:rsidRPr="000965E7">
        <w:t xml:space="preserve">and </w:t>
      </w:r>
      <w:r w:rsidR="000965E7">
        <w:t>to verify,</w:t>
      </w:r>
      <w:r w:rsidR="000965E7" w:rsidRPr="000965E7">
        <w:t xml:space="preserve"> the </w:t>
      </w:r>
      <w:r w:rsidR="003312BD">
        <w:t>TD</w:t>
      </w:r>
      <w:r w:rsidR="007D2C8C" w:rsidRPr="000965E7">
        <w:t xml:space="preserve"> </w:t>
      </w:r>
      <w:r w:rsidR="000D6BE0">
        <w:t>to be provided to</w:t>
      </w:r>
      <w:r w:rsidR="00D62FC1">
        <w:t xml:space="preserve"> </w:t>
      </w:r>
      <w:r w:rsidR="0083447A">
        <w:t>ANZ</w:t>
      </w:r>
      <w:r w:rsidR="000965E7" w:rsidRPr="000965E7">
        <w:t xml:space="preserve"> Subcontractors</w:t>
      </w:r>
      <w:r w:rsidR="006B216F">
        <w:t xml:space="preserve"> and the </w:t>
      </w:r>
      <w:r w:rsidR="000D6BE0">
        <w:t xml:space="preserve">IP </w:t>
      </w:r>
      <w:r w:rsidR="006B216F">
        <w:t xml:space="preserve">rights associated with that </w:t>
      </w:r>
      <w:r w:rsidR="003312BD">
        <w:t>TD</w:t>
      </w:r>
      <w:r w:rsidR="005407A4">
        <w:t>;</w:t>
      </w:r>
      <w:r w:rsidR="000965E7" w:rsidRPr="000965E7">
        <w:t xml:space="preserve"> </w:t>
      </w:r>
      <w:r w:rsidR="00894370">
        <w:t>and</w:t>
      </w:r>
    </w:p>
    <w:p w14:paraId="00A44C74" w14:textId="08EBD725" w:rsidR="007D2C8C" w:rsidRPr="000965E7" w:rsidRDefault="002C4FD6" w:rsidP="00D61960">
      <w:pPr>
        <w:pStyle w:val="SOWSubL1-ASDEFCON"/>
      </w:pPr>
      <w:r>
        <w:t xml:space="preserve">gain </w:t>
      </w:r>
      <w:r w:rsidR="00D62FC1">
        <w:t xml:space="preserve">assurance that </w:t>
      </w:r>
      <w:r w:rsidR="00A67788">
        <w:t>the AIC Obligations and the AIC Objectives</w:t>
      </w:r>
      <w:r w:rsidR="00D62FC1">
        <w:t xml:space="preserve"> will be achieved</w:t>
      </w:r>
      <w:r w:rsidR="000965E7" w:rsidRPr="000965E7">
        <w:t>.</w:t>
      </w:r>
    </w:p>
    <w:p w14:paraId="3A15A28E" w14:textId="77777777" w:rsidR="007D2C8C" w:rsidRDefault="007D2C8C" w:rsidP="005014F9">
      <w:pPr>
        <w:pStyle w:val="SOWHL1-ASDEFCON"/>
      </w:pPr>
      <w:bookmarkStart w:id="6" w:name="_Toc515805640"/>
      <w:r>
        <w:t>INTER-RELATIONSHIPS</w:t>
      </w:r>
      <w:bookmarkEnd w:id="6"/>
    </w:p>
    <w:p w14:paraId="6B0A0610" w14:textId="77777777" w:rsidR="007D2C8C" w:rsidRDefault="007D2C8C" w:rsidP="005014F9">
      <w:pPr>
        <w:pStyle w:val="SOWTL2-ASDEFCON"/>
      </w:pPr>
      <w:r>
        <w:t xml:space="preserve">The </w:t>
      </w:r>
      <w:r w:rsidR="00980367">
        <w:t>AS</w:t>
      </w:r>
      <w:r w:rsidR="0051475F">
        <w:t xml:space="preserve">TDL </w:t>
      </w:r>
      <w:r>
        <w:t>is subordinate to the</w:t>
      </w:r>
      <w:r w:rsidR="00F56717">
        <w:t xml:space="preserve"> following data items, where these data items are required under the Contract</w:t>
      </w:r>
      <w:r>
        <w:t>:</w:t>
      </w:r>
    </w:p>
    <w:p w14:paraId="7A978F5E" w14:textId="00B81057" w:rsidR="00580CD9" w:rsidRDefault="00580CD9" w:rsidP="009F6B37">
      <w:pPr>
        <w:pStyle w:val="SOWSubL1-ASDEFCON"/>
        <w:rPr>
          <w:color w:val="auto"/>
        </w:rPr>
      </w:pPr>
      <w:r w:rsidRPr="00107540">
        <w:rPr>
          <w:color w:val="auto"/>
        </w:rPr>
        <w:t>AIC Plan;</w:t>
      </w:r>
    </w:p>
    <w:p w14:paraId="18FA0411" w14:textId="798D2E5D" w:rsidR="00A67788" w:rsidRDefault="00A67788" w:rsidP="009F6B37">
      <w:pPr>
        <w:pStyle w:val="SOWSubL1-ASDEFCON"/>
        <w:rPr>
          <w:color w:val="auto"/>
        </w:rPr>
      </w:pPr>
      <w:r>
        <w:rPr>
          <w:color w:val="auto"/>
        </w:rPr>
        <w:t>Supply Chain Management Plan (SCMP);</w:t>
      </w:r>
    </w:p>
    <w:p w14:paraId="38389C19" w14:textId="77243539" w:rsidR="00A67788" w:rsidRPr="00107540" w:rsidRDefault="00A67788" w:rsidP="009F6B37">
      <w:pPr>
        <w:pStyle w:val="SOWSubL1-ASDEFCON"/>
        <w:rPr>
          <w:color w:val="auto"/>
        </w:rPr>
      </w:pPr>
      <w:r>
        <w:rPr>
          <w:color w:val="auto"/>
        </w:rPr>
        <w:t>Defence-Required Australian Industr</w:t>
      </w:r>
      <w:r w:rsidR="002E3D68">
        <w:rPr>
          <w:color w:val="auto"/>
        </w:rPr>
        <w:t>ial</w:t>
      </w:r>
      <w:r>
        <w:rPr>
          <w:color w:val="auto"/>
        </w:rPr>
        <w:t xml:space="preserve"> Capability Plan (DRAICP);</w:t>
      </w:r>
    </w:p>
    <w:p w14:paraId="2363F738" w14:textId="77777777" w:rsidR="007D2C8C" w:rsidRPr="00F97C8D" w:rsidRDefault="007D2C8C" w:rsidP="009F6B37">
      <w:pPr>
        <w:pStyle w:val="SOWSubL1-ASDEFCON"/>
        <w:rPr>
          <w:color w:val="auto"/>
        </w:rPr>
      </w:pPr>
      <w:r w:rsidRPr="00F97C8D">
        <w:rPr>
          <w:color w:val="auto"/>
        </w:rPr>
        <w:t>Integrated Support Plan (ISP); and</w:t>
      </w:r>
    </w:p>
    <w:p w14:paraId="4D0FF2BD" w14:textId="689A5496" w:rsidR="007D2C8C" w:rsidRPr="00F97C8D" w:rsidRDefault="007D2C8C" w:rsidP="005014F9">
      <w:pPr>
        <w:pStyle w:val="SOWSubL1-ASDEFCON"/>
        <w:rPr>
          <w:color w:val="auto"/>
        </w:rPr>
      </w:pPr>
      <w:r w:rsidRPr="00F97C8D">
        <w:rPr>
          <w:color w:val="auto"/>
        </w:rPr>
        <w:t>Technical Data Plan (TDP).</w:t>
      </w:r>
    </w:p>
    <w:p w14:paraId="77E01CDD" w14:textId="77777777" w:rsidR="009B4B15" w:rsidRDefault="007D2C8C" w:rsidP="005014F9">
      <w:pPr>
        <w:pStyle w:val="SOWTL2-ASDEFCON"/>
      </w:pPr>
      <w:r>
        <w:t xml:space="preserve">The </w:t>
      </w:r>
      <w:r w:rsidR="00980367">
        <w:t>AS</w:t>
      </w:r>
      <w:r w:rsidR="0051475F">
        <w:t xml:space="preserve">TDL </w:t>
      </w:r>
      <w:r>
        <w:t xml:space="preserve">inter-relates with the </w:t>
      </w:r>
      <w:r w:rsidR="009B4B15" w:rsidRPr="009B4B15">
        <w:t>following data items</w:t>
      </w:r>
      <w:r w:rsidR="00AF7919">
        <w:t>, where these data item are required under the Contract</w:t>
      </w:r>
      <w:r w:rsidR="009B4B15" w:rsidRPr="009B4B15">
        <w:t>:</w:t>
      </w:r>
    </w:p>
    <w:p w14:paraId="6BC0532D" w14:textId="3D7F303C" w:rsidR="007752DA" w:rsidRPr="00107540" w:rsidRDefault="00830B75" w:rsidP="009F6B37">
      <w:pPr>
        <w:pStyle w:val="SOWSubL1-ASDEFCON"/>
        <w:rPr>
          <w:color w:val="auto"/>
        </w:rPr>
      </w:pPr>
      <w:r>
        <w:rPr>
          <w:color w:val="auto"/>
        </w:rPr>
        <w:t>Support System Technical Data List (SSTDL)</w:t>
      </w:r>
      <w:r w:rsidR="007752DA" w:rsidRPr="00107540">
        <w:rPr>
          <w:color w:val="auto"/>
        </w:rPr>
        <w:t>;</w:t>
      </w:r>
    </w:p>
    <w:p w14:paraId="3C42FA6D" w14:textId="77777777" w:rsidR="00A67788" w:rsidRDefault="00107540" w:rsidP="009F6B37">
      <w:pPr>
        <w:pStyle w:val="SOWSubL1-ASDEFCON"/>
        <w:rPr>
          <w:color w:val="auto"/>
        </w:rPr>
      </w:pPr>
      <w:r w:rsidRPr="00107540">
        <w:rPr>
          <w:color w:val="auto"/>
        </w:rPr>
        <w:t>Data Accession List (DAL)</w:t>
      </w:r>
      <w:r w:rsidR="00A67788">
        <w:rPr>
          <w:color w:val="auto"/>
        </w:rPr>
        <w:t>;</w:t>
      </w:r>
    </w:p>
    <w:p w14:paraId="2BCD297B" w14:textId="497BC75F" w:rsidR="00A67788" w:rsidRDefault="00A67788" w:rsidP="009F6B37">
      <w:pPr>
        <w:pStyle w:val="SOWSubL1-ASDEFCON"/>
        <w:rPr>
          <w:color w:val="auto"/>
        </w:rPr>
      </w:pPr>
      <w:r>
        <w:rPr>
          <w:color w:val="auto"/>
        </w:rPr>
        <w:t xml:space="preserve">all other data items that </w:t>
      </w:r>
      <w:r>
        <w:t xml:space="preserve">identify, list, or are </w:t>
      </w:r>
      <w:r w:rsidR="003312BD">
        <w:t>TD</w:t>
      </w:r>
      <w:r>
        <w:rPr>
          <w:color w:val="auto"/>
        </w:rPr>
        <w:t>; and</w:t>
      </w:r>
    </w:p>
    <w:p w14:paraId="4C43E028" w14:textId="2C2007D3" w:rsidR="00580CD9" w:rsidRDefault="00A67788" w:rsidP="009F6B37">
      <w:pPr>
        <w:pStyle w:val="SOWSubL1-ASDEFCON"/>
        <w:rPr>
          <w:color w:val="auto"/>
        </w:rPr>
      </w:pPr>
      <w:r>
        <w:rPr>
          <w:color w:val="auto"/>
        </w:rPr>
        <w:t>Contract Status Report (CSR)</w:t>
      </w:r>
      <w:r w:rsidR="00107540">
        <w:rPr>
          <w:color w:val="auto"/>
        </w:rPr>
        <w:t>.</w:t>
      </w:r>
    </w:p>
    <w:p w14:paraId="5904F953" w14:textId="77777777" w:rsidR="007D2C8C" w:rsidRDefault="007D2C8C" w:rsidP="005014F9">
      <w:pPr>
        <w:pStyle w:val="SOWHL1-ASDEFCON"/>
      </w:pPr>
      <w:bookmarkStart w:id="7" w:name="_Toc515805641"/>
      <w:r>
        <w:lastRenderedPageBreak/>
        <w:t>Applicable Documents</w:t>
      </w:r>
    </w:p>
    <w:p w14:paraId="2EDDBAA6" w14:textId="77777777" w:rsidR="006E5B94" w:rsidRPr="006E5B94" w:rsidRDefault="006E5B94" w:rsidP="00A67788">
      <w:pPr>
        <w:pStyle w:val="SOWTL2-ASDEFCON"/>
        <w:keepNext/>
      </w:pPr>
      <w:r>
        <w:t>The following documents form a part of this DID to the extent specified herein:</w:t>
      </w:r>
    </w:p>
    <w:tbl>
      <w:tblPr>
        <w:tblW w:w="0" w:type="auto"/>
        <w:tblInd w:w="1276" w:type="dxa"/>
        <w:tblLayout w:type="fixed"/>
        <w:tblLook w:val="0000" w:firstRow="0" w:lastRow="0" w:firstColumn="0" w:lastColumn="0" w:noHBand="0" w:noVBand="0"/>
      </w:tblPr>
      <w:tblGrid>
        <w:gridCol w:w="2127"/>
        <w:gridCol w:w="5669"/>
      </w:tblGrid>
      <w:tr w:rsidR="007D2C8C" w14:paraId="11C83ACE" w14:textId="77777777" w:rsidTr="009E4E0D">
        <w:tc>
          <w:tcPr>
            <w:tcW w:w="2127" w:type="dxa"/>
          </w:tcPr>
          <w:p w14:paraId="0B4E2F73" w14:textId="77777777" w:rsidR="007D2C8C" w:rsidRDefault="007D2C8C" w:rsidP="004F4F48">
            <w:pPr>
              <w:pStyle w:val="Table10ptText-ASDEFCON"/>
            </w:pPr>
            <w:r>
              <w:t>Nil.</w:t>
            </w:r>
          </w:p>
        </w:tc>
        <w:tc>
          <w:tcPr>
            <w:tcW w:w="5669" w:type="dxa"/>
          </w:tcPr>
          <w:p w14:paraId="517F0AA5" w14:textId="77777777" w:rsidR="007D2C8C" w:rsidRDefault="007D2C8C" w:rsidP="005014F9">
            <w:pPr>
              <w:pStyle w:val="Table10ptText-ASDEFCON"/>
            </w:pPr>
          </w:p>
        </w:tc>
      </w:tr>
    </w:tbl>
    <w:p w14:paraId="4984A2AA" w14:textId="77777777" w:rsidR="007D2C8C" w:rsidRDefault="007D2C8C" w:rsidP="005014F9">
      <w:pPr>
        <w:pStyle w:val="SOWHL1-ASDEFCON"/>
      </w:pPr>
      <w:r>
        <w:t>Preparation Instructions</w:t>
      </w:r>
      <w:bookmarkEnd w:id="7"/>
    </w:p>
    <w:p w14:paraId="00612595" w14:textId="77777777" w:rsidR="007D2C8C" w:rsidRDefault="007D2C8C" w:rsidP="004F4F48">
      <w:pPr>
        <w:pStyle w:val="SOWHL2-ASDEFCON"/>
      </w:pPr>
      <w:bookmarkStart w:id="8" w:name="_Toc515805642"/>
      <w:r>
        <w:t>Generic Format and Content</w:t>
      </w:r>
      <w:bookmarkEnd w:id="8"/>
    </w:p>
    <w:p w14:paraId="29EB8618" w14:textId="77777777" w:rsidR="007D2C8C" w:rsidRDefault="007D2C8C" w:rsidP="004F4F48">
      <w:pPr>
        <w:pStyle w:val="SOWTL3-ASDEFCON"/>
      </w:pPr>
      <w:r>
        <w:t xml:space="preserve">The data item shall comply with the general format, content and preparation instructions contained in the CDRL clause entitled </w:t>
      </w:r>
      <w:r w:rsidR="00DF0088">
        <w:t>‘</w:t>
      </w:r>
      <w:r>
        <w:t xml:space="preserve">General Requirements </w:t>
      </w:r>
      <w:r w:rsidR="00A66D4E">
        <w:t xml:space="preserve">for </w:t>
      </w:r>
      <w:r>
        <w:t>Data Items</w:t>
      </w:r>
      <w:r w:rsidR="00DF0088">
        <w:t>’</w:t>
      </w:r>
      <w:r>
        <w:t>.</w:t>
      </w:r>
    </w:p>
    <w:p w14:paraId="4B840CB4" w14:textId="6A6D9F63" w:rsidR="00342200" w:rsidRPr="00F97C8D" w:rsidRDefault="00342200" w:rsidP="00342200">
      <w:pPr>
        <w:pStyle w:val="Note-ASDEFCON"/>
        <w:rPr>
          <w:color w:val="auto"/>
        </w:rPr>
      </w:pPr>
      <w:r w:rsidRPr="00F97C8D">
        <w:rPr>
          <w:color w:val="auto"/>
        </w:rPr>
        <w:t xml:space="preserve">Note: </w:t>
      </w:r>
      <w:r w:rsidR="006842C9">
        <w:rPr>
          <w:color w:val="auto"/>
        </w:rPr>
        <w:t xml:space="preserve"> </w:t>
      </w:r>
      <w:r w:rsidRPr="00F97C8D">
        <w:rPr>
          <w:color w:val="auto"/>
        </w:rPr>
        <w:t xml:space="preserve">The data </w:t>
      </w:r>
      <w:r w:rsidR="00DD0B03">
        <w:rPr>
          <w:color w:val="auto"/>
        </w:rPr>
        <w:t xml:space="preserve">structure </w:t>
      </w:r>
      <w:r w:rsidR="005407A4">
        <w:rPr>
          <w:color w:val="auto"/>
        </w:rPr>
        <w:t>of</w:t>
      </w:r>
      <w:r w:rsidRPr="00F97C8D">
        <w:rPr>
          <w:color w:val="auto"/>
        </w:rPr>
        <w:t xml:space="preserve"> the </w:t>
      </w:r>
      <w:r w:rsidR="00A67788">
        <w:rPr>
          <w:color w:val="auto"/>
        </w:rPr>
        <w:t>AS</w:t>
      </w:r>
      <w:r w:rsidRPr="00F97C8D">
        <w:rPr>
          <w:color w:val="auto"/>
        </w:rPr>
        <w:t xml:space="preserve">TDL </w:t>
      </w:r>
      <w:r w:rsidR="00DD0B03">
        <w:rPr>
          <w:color w:val="auto"/>
        </w:rPr>
        <w:t>is</w:t>
      </w:r>
      <w:r w:rsidRPr="00F97C8D">
        <w:rPr>
          <w:color w:val="auto"/>
        </w:rPr>
        <w:t xml:space="preserve"> identical to the </w:t>
      </w:r>
      <w:r w:rsidR="00830B75">
        <w:rPr>
          <w:color w:val="auto"/>
        </w:rPr>
        <w:t>Master Technical Data Index (</w:t>
      </w:r>
      <w:r w:rsidRPr="00F97C8D">
        <w:rPr>
          <w:color w:val="auto"/>
        </w:rPr>
        <w:t>MTDI</w:t>
      </w:r>
      <w:r w:rsidR="00830B75">
        <w:rPr>
          <w:color w:val="auto"/>
        </w:rPr>
        <w:t>)</w:t>
      </w:r>
      <w:r w:rsidR="00DD0B03">
        <w:rPr>
          <w:color w:val="auto"/>
        </w:rPr>
        <w:t>,</w:t>
      </w:r>
      <w:r w:rsidRPr="00F97C8D">
        <w:rPr>
          <w:color w:val="auto"/>
        </w:rPr>
        <w:t xml:space="preserve"> to enable the same tool / database to be used.  However, restrictions on the use of </w:t>
      </w:r>
      <w:r w:rsidR="003312BD">
        <w:rPr>
          <w:color w:val="auto"/>
        </w:rPr>
        <w:t>TD</w:t>
      </w:r>
      <w:r w:rsidRPr="00F97C8D">
        <w:rPr>
          <w:color w:val="auto"/>
        </w:rPr>
        <w:t xml:space="preserve"> (clauses </w:t>
      </w:r>
      <w:r w:rsidRPr="00F97C8D">
        <w:rPr>
          <w:color w:val="auto"/>
        </w:rPr>
        <w:fldChar w:fldCharType="begin"/>
      </w:r>
      <w:r w:rsidRPr="00F97C8D">
        <w:rPr>
          <w:color w:val="auto"/>
        </w:rPr>
        <w:instrText xml:space="preserve"> REF _Ref46151137 \w \h </w:instrText>
      </w:r>
      <w:r w:rsidRPr="00F97C8D">
        <w:rPr>
          <w:color w:val="auto"/>
        </w:rPr>
      </w:r>
      <w:r w:rsidRPr="00F97C8D">
        <w:rPr>
          <w:color w:val="auto"/>
        </w:rPr>
        <w:fldChar w:fldCharType="separate"/>
      </w:r>
      <w:r w:rsidR="00BD735E">
        <w:rPr>
          <w:color w:val="auto"/>
        </w:rPr>
        <w:t>6.2.2m</w:t>
      </w:r>
      <w:r w:rsidRPr="00F97C8D">
        <w:rPr>
          <w:color w:val="auto"/>
        </w:rPr>
        <w:fldChar w:fldCharType="end"/>
      </w:r>
      <w:r w:rsidRPr="00F97C8D">
        <w:rPr>
          <w:color w:val="auto"/>
        </w:rPr>
        <w:t xml:space="preserve"> and </w:t>
      </w:r>
      <w:r w:rsidRPr="00F97C8D">
        <w:rPr>
          <w:color w:val="auto"/>
        </w:rPr>
        <w:fldChar w:fldCharType="begin"/>
      </w:r>
      <w:r w:rsidRPr="00F97C8D">
        <w:rPr>
          <w:color w:val="auto"/>
        </w:rPr>
        <w:instrText xml:space="preserve"> REF _Ref46228664 \w \h </w:instrText>
      </w:r>
      <w:r w:rsidRPr="00F97C8D">
        <w:rPr>
          <w:color w:val="auto"/>
        </w:rPr>
      </w:r>
      <w:r w:rsidRPr="00F97C8D">
        <w:rPr>
          <w:color w:val="auto"/>
        </w:rPr>
        <w:fldChar w:fldCharType="separate"/>
      </w:r>
      <w:r w:rsidR="00BD735E">
        <w:rPr>
          <w:color w:val="auto"/>
        </w:rPr>
        <w:t>6.2.2n</w:t>
      </w:r>
      <w:r w:rsidRPr="00F97C8D">
        <w:rPr>
          <w:color w:val="auto"/>
        </w:rPr>
        <w:fldChar w:fldCharType="end"/>
      </w:r>
      <w:r w:rsidRPr="00F97C8D">
        <w:rPr>
          <w:color w:val="auto"/>
        </w:rPr>
        <w:t>) are defined differently.</w:t>
      </w:r>
    </w:p>
    <w:p w14:paraId="23E83048" w14:textId="0F0B477A" w:rsidR="00341E8B" w:rsidRDefault="007D2C8C" w:rsidP="005014F9">
      <w:pPr>
        <w:pStyle w:val="SOWTL3-ASDEFCON"/>
      </w:pPr>
      <w:bookmarkStart w:id="9" w:name="_Ref481585537"/>
      <w:r>
        <w:t xml:space="preserve">The </w:t>
      </w:r>
      <w:r w:rsidR="00980367">
        <w:t>AS</w:t>
      </w:r>
      <w:r w:rsidR="0051475F">
        <w:t xml:space="preserve">TDL </w:t>
      </w:r>
      <w:r>
        <w:t xml:space="preserve">shall be provided in </w:t>
      </w:r>
      <w:r w:rsidR="00E77F4F">
        <w:t xml:space="preserve">soft copy </w:t>
      </w:r>
      <w:r w:rsidR="00E26A29">
        <w:t xml:space="preserve">as a </w:t>
      </w:r>
      <w:r w:rsidR="00E77F4F">
        <w:t xml:space="preserve">structured data </w:t>
      </w:r>
      <w:r w:rsidR="00E26A29">
        <w:t xml:space="preserve">file </w:t>
      </w:r>
      <w:r w:rsidR="00E77F4F">
        <w:t>(</w:t>
      </w:r>
      <w:proofErr w:type="spellStart"/>
      <w:r w:rsidR="00E77F4F">
        <w:t>eg</w:t>
      </w:r>
      <w:proofErr w:type="spellEnd"/>
      <w:r w:rsidR="00E77F4F">
        <w:t xml:space="preserve">, one or more </w:t>
      </w:r>
      <w:r>
        <w:t>database</w:t>
      </w:r>
      <w:r w:rsidR="00E77F4F">
        <w:t>s</w:t>
      </w:r>
      <w:r w:rsidR="00E26A29">
        <w:t>,</w:t>
      </w:r>
      <w:r>
        <w:t xml:space="preserve"> spreadsheet</w:t>
      </w:r>
      <w:r w:rsidR="00E77F4F">
        <w:t xml:space="preserve">s or other structured data </w:t>
      </w:r>
      <w:r w:rsidR="00E26A29">
        <w:t>format</w:t>
      </w:r>
      <w:r w:rsidR="00E77F4F">
        <w:t xml:space="preserve">) that </w:t>
      </w:r>
      <w:r w:rsidR="00E26A29">
        <w:t>enables</w:t>
      </w:r>
      <w:r w:rsidR="00E77F4F">
        <w:t xml:space="preserve"> the </w:t>
      </w:r>
      <w:r w:rsidR="00980367">
        <w:t>AST</w:t>
      </w:r>
      <w:r w:rsidR="0051475F">
        <w:t xml:space="preserve">DL </w:t>
      </w:r>
      <w:r w:rsidR="00E26A29">
        <w:t>content</w:t>
      </w:r>
      <w:r w:rsidR="00E77F4F">
        <w:t xml:space="preserve"> to</w:t>
      </w:r>
      <w:r w:rsidR="00E26A29">
        <w:t xml:space="preserve"> be</w:t>
      </w:r>
      <w:r w:rsidR="00E77F4F">
        <w:t xml:space="preserve"> </w:t>
      </w:r>
      <w:r w:rsidR="008D731E">
        <w:t>access</w:t>
      </w:r>
      <w:r w:rsidR="00E26A29">
        <w:t>ed, queried</w:t>
      </w:r>
      <w:r w:rsidR="008D731E">
        <w:t xml:space="preserve">, read, </w:t>
      </w:r>
      <w:r w:rsidR="00E77F4F">
        <w:t>print</w:t>
      </w:r>
      <w:r w:rsidR="00E26A29">
        <w:t>ed</w:t>
      </w:r>
      <w:r w:rsidR="002E1010">
        <w:t>,</w:t>
      </w:r>
      <w:r w:rsidR="00E77F4F">
        <w:t xml:space="preserve"> and </w:t>
      </w:r>
      <w:r w:rsidR="00E26A29">
        <w:t xml:space="preserve">used to </w:t>
      </w:r>
      <w:r w:rsidR="00E77F4F">
        <w:t>generate</w:t>
      </w:r>
      <w:r>
        <w:t xml:space="preserve"> soft copy tabulated text</w:t>
      </w:r>
      <w:r w:rsidR="00E77F4F">
        <w:t xml:space="preserve"> </w:t>
      </w:r>
      <w:r>
        <w:t>reports.</w:t>
      </w:r>
      <w:bookmarkEnd w:id="9"/>
    </w:p>
    <w:p w14:paraId="1D90FA4C" w14:textId="340E77EA" w:rsidR="00196ECB" w:rsidRDefault="00196ECB" w:rsidP="005014F9">
      <w:pPr>
        <w:pStyle w:val="SOWTL3-ASDEFCON"/>
      </w:pPr>
      <w:r>
        <w:t xml:space="preserve">Except where the soft copy </w:t>
      </w:r>
      <w:r w:rsidR="00E26A29">
        <w:t>data file</w:t>
      </w:r>
      <w:r>
        <w:t xml:space="preserve"> is </w:t>
      </w:r>
      <w:r w:rsidR="00E26A29">
        <w:t>compatible</w:t>
      </w:r>
      <w:r>
        <w:t xml:space="preserve"> with a standard </w:t>
      </w:r>
      <w:r w:rsidRPr="000E7DE0">
        <w:t>Software</w:t>
      </w:r>
      <w:r>
        <w:t xml:space="preserve"> application defined elsewhere in the Contract, or otherwise agreed in advance and in writing by the Commonwealth Representative, the </w:t>
      </w:r>
      <w:r w:rsidR="00980367">
        <w:t>AS</w:t>
      </w:r>
      <w:r w:rsidR="0051475F">
        <w:t xml:space="preserve">TDL </w:t>
      </w:r>
      <w:r>
        <w:t xml:space="preserve">shall be accompanied by any Software and </w:t>
      </w:r>
      <w:r w:rsidR="003312BD">
        <w:t>TD</w:t>
      </w:r>
      <w:r>
        <w:t xml:space="preserve"> required to enable the </w:t>
      </w:r>
      <w:r w:rsidR="00E9520C">
        <w:t>functions identified in</w:t>
      </w:r>
      <w:r>
        <w:t xml:space="preserve"> clause </w:t>
      </w:r>
      <w:r>
        <w:fldChar w:fldCharType="begin"/>
      </w:r>
      <w:r>
        <w:instrText xml:space="preserve"> REF _Ref481585537 \r \h </w:instrText>
      </w:r>
      <w:r>
        <w:fldChar w:fldCharType="separate"/>
      </w:r>
      <w:r w:rsidR="00BD735E">
        <w:t>6.1.2</w:t>
      </w:r>
      <w:r>
        <w:fldChar w:fldCharType="end"/>
      </w:r>
      <w:r>
        <w:t>.</w:t>
      </w:r>
    </w:p>
    <w:p w14:paraId="5DDEFBAA" w14:textId="77777777" w:rsidR="007D2C8C" w:rsidRDefault="007D2C8C" w:rsidP="004F4F48">
      <w:pPr>
        <w:pStyle w:val="SOWHL2-ASDEFCON"/>
      </w:pPr>
      <w:bookmarkStart w:id="10" w:name="_Toc515805643"/>
      <w:r>
        <w:t>Specific Content</w:t>
      </w:r>
      <w:bookmarkEnd w:id="10"/>
    </w:p>
    <w:bookmarkEnd w:id="2"/>
    <w:p w14:paraId="4E69A297" w14:textId="6EAA45F3" w:rsidR="007752DA" w:rsidRPr="0051475F" w:rsidRDefault="007D2C8C" w:rsidP="00F95286">
      <w:pPr>
        <w:pStyle w:val="SOWTL3-ASDEFCON"/>
        <w:rPr>
          <w:color w:val="FF0000"/>
        </w:rPr>
      </w:pPr>
      <w:r>
        <w:t xml:space="preserve">The </w:t>
      </w:r>
      <w:r w:rsidR="00980367">
        <w:t>AS</w:t>
      </w:r>
      <w:r w:rsidR="008A4939">
        <w:t xml:space="preserve">TDL </w:t>
      </w:r>
      <w:r>
        <w:t xml:space="preserve">shall list </w:t>
      </w:r>
      <w:r w:rsidR="00D52899">
        <w:t xml:space="preserve">all of </w:t>
      </w:r>
      <w:r w:rsidR="00580CD9">
        <w:t xml:space="preserve">the </w:t>
      </w:r>
      <w:r w:rsidR="003312BD">
        <w:t>TD</w:t>
      </w:r>
      <w:r>
        <w:t xml:space="preserve"> </w:t>
      </w:r>
      <w:r w:rsidR="00F95286">
        <w:t xml:space="preserve">that </w:t>
      </w:r>
      <w:r w:rsidR="00D52899">
        <w:t>will</w:t>
      </w:r>
      <w:r w:rsidR="007E16BB">
        <w:t xml:space="preserve"> be</w:t>
      </w:r>
      <w:r w:rsidR="00F95286">
        <w:t xml:space="preserve"> </w:t>
      </w:r>
      <w:r w:rsidR="007E16BB" w:rsidRPr="00E849C4">
        <w:rPr>
          <w:color w:val="auto"/>
        </w:rPr>
        <w:t xml:space="preserve">provided </w:t>
      </w:r>
      <w:r w:rsidR="007E16BB">
        <w:rPr>
          <w:color w:val="auto"/>
        </w:rPr>
        <w:t>by the Contractor</w:t>
      </w:r>
      <w:r w:rsidR="00DD0B03">
        <w:rPr>
          <w:color w:val="auto"/>
        </w:rPr>
        <w:t>,</w:t>
      </w:r>
      <w:r w:rsidR="007E16BB">
        <w:rPr>
          <w:color w:val="auto"/>
        </w:rPr>
        <w:t xml:space="preserve"> </w:t>
      </w:r>
      <w:r w:rsidR="00A67788">
        <w:rPr>
          <w:color w:val="auto"/>
        </w:rPr>
        <w:t>or other Subcontractors</w:t>
      </w:r>
      <w:r w:rsidR="00DD0B03">
        <w:rPr>
          <w:color w:val="auto"/>
        </w:rPr>
        <w:t>,</w:t>
      </w:r>
      <w:r w:rsidR="00A67788">
        <w:rPr>
          <w:color w:val="auto"/>
        </w:rPr>
        <w:t xml:space="preserve"> </w:t>
      </w:r>
      <w:r w:rsidR="007E16BB" w:rsidRPr="00E849C4">
        <w:rPr>
          <w:color w:val="auto"/>
        </w:rPr>
        <w:t xml:space="preserve">to </w:t>
      </w:r>
      <w:r w:rsidR="0083447A">
        <w:rPr>
          <w:color w:val="auto"/>
        </w:rPr>
        <w:t>ANZ</w:t>
      </w:r>
      <w:r w:rsidR="007E16BB" w:rsidRPr="00E849C4">
        <w:rPr>
          <w:color w:val="auto"/>
        </w:rPr>
        <w:t xml:space="preserve"> Subcontractors</w:t>
      </w:r>
      <w:r w:rsidR="007E16BB">
        <w:rPr>
          <w:color w:val="auto"/>
        </w:rPr>
        <w:t xml:space="preserve"> in order for the </w:t>
      </w:r>
      <w:r w:rsidR="00DD0B03">
        <w:rPr>
          <w:color w:val="auto"/>
        </w:rPr>
        <w:t xml:space="preserve">ANZ </w:t>
      </w:r>
      <w:r w:rsidR="007E16BB">
        <w:rPr>
          <w:color w:val="auto"/>
        </w:rPr>
        <w:t>Subcontractors</w:t>
      </w:r>
      <w:r w:rsidR="007E16BB" w:rsidRPr="00E849C4">
        <w:rPr>
          <w:color w:val="auto"/>
        </w:rPr>
        <w:t xml:space="preserve"> </w:t>
      </w:r>
      <w:r w:rsidR="00D52899">
        <w:rPr>
          <w:color w:val="auto"/>
        </w:rPr>
        <w:t xml:space="preserve">to </w:t>
      </w:r>
      <w:r w:rsidR="007E16BB">
        <w:rPr>
          <w:color w:val="auto"/>
        </w:rPr>
        <w:t>perform</w:t>
      </w:r>
      <w:r w:rsidR="007E16BB" w:rsidRPr="00E849C4">
        <w:rPr>
          <w:color w:val="auto"/>
        </w:rPr>
        <w:t xml:space="preserve"> </w:t>
      </w:r>
      <w:r w:rsidR="00D52899">
        <w:rPr>
          <w:color w:val="auto"/>
        </w:rPr>
        <w:t xml:space="preserve">the </w:t>
      </w:r>
      <w:r w:rsidR="00A67788">
        <w:rPr>
          <w:color w:val="auto"/>
        </w:rPr>
        <w:t xml:space="preserve">work </w:t>
      </w:r>
      <w:r w:rsidR="00D52899">
        <w:rPr>
          <w:color w:val="auto"/>
        </w:rPr>
        <w:t>required under the Contract</w:t>
      </w:r>
      <w:r w:rsidR="00442F03">
        <w:rPr>
          <w:color w:val="auto"/>
        </w:rPr>
        <w:t>, the Contract (Support) (if applicable),</w:t>
      </w:r>
      <w:r w:rsidR="00D52899">
        <w:rPr>
          <w:color w:val="auto"/>
        </w:rPr>
        <w:t xml:space="preserve"> and/or over the Life</w:t>
      </w:r>
      <w:r w:rsidR="00D52899">
        <w:rPr>
          <w:color w:val="auto"/>
        </w:rPr>
        <w:noBreakHyphen/>
        <w:t>of</w:t>
      </w:r>
      <w:r w:rsidR="00D52899">
        <w:rPr>
          <w:color w:val="auto"/>
        </w:rPr>
        <w:noBreakHyphen/>
        <w:t>Type (LOT) of the Mission System</w:t>
      </w:r>
      <w:r w:rsidR="005407A4">
        <w:rPr>
          <w:color w:val="auto"/>
        </w:rPr>
        <w:t>,</w:t>
      </w:r>
      <w:r w:rsidR="00D52899">
        <w:rPr>
          <w:color w:val="auto"/>
        </w:rPr>
        <w:t xml:space="preserve"> to achieve</w:t>
      </w:r>
      <w:r w:rsidR="00A67788">
        <w:rPr>
          <w:color w:val="auto"/>
        </w:rPr>
        <w:t xml:space="preserve"> </w:t>
      </w:r>
      <w:r w:rsidR="00D52899">
        <w:rPr>
          <w:color w:val="auto"/>
        </w:rPr>
        <w:t xml:space="preserve">one or more of </w:t>
      </w:r>
      <w:r w:rsidR="00A67788">
        <w:rPr>
          <w:color w:val="auto"/>
        </w:rPr>
        <w:t xml:space="preserve">the purposes </w:t>
      </w:r>
      <w:r w:rsidR="00D52899">
        <w:rPr>
          <w:color w:val="auto"/>
        </w:rPr>
        <w:t>set out</w:t>
      </w:r>
      <w:r w:rsidR="00A67788">
        <w:rPr>
          <w:color w:val="auto"/>
        </w:rPr>
        <w:t xml:space="preserve"> in clause </w:t>
      </w:r>
      <w:r w:rsidR="00A67788">
        <w:fldChar w:fldCharType="begin"/>
      </w:r>
      <w:r w:rsidR="00A67788">
        <w:instrText xml:space="preserve"> REF _Ref48464853 \r \h </w:instrText>
      </w:r>
      <w:r w:rsidR="00A67788">
        <w:fldChar w:fldCharType="separate"/>
      </w:r>
      <w:r w:rsidR="00BD735E">
        <w:t>3.1</w:t>
      </w:r>
      <w:r w:rsidR="00A67788">
        <w:fldChar w:fldCharType="end"/>
      </w:r>
      <w:r w:rsidR="00F95286">
        <w:t>.</w:t>
      </w:r>
    </w:p>
    <w:p w14:paraId="458F6208" w14:textId="03B9B982" w:rsidR="007D2C8C" w:rsidRDefault="007D2C8C" w:rsidP="00F95286">
      <w:pPr>
        <w:pStyle w:val="SOWTL3-ASDEFCON"/>
      </w:pPr>
      <w:r>
        <w:t xml:space="preserve">The </w:t>
      </w:r>
      <w:r w:rsidR="00980367">
        <w:t>AS</w:t>
      </w:r>
      <w:r w:rsidR="008A4939">
        <w:t>TDL</w:t>
      </w:r>
      <w:r>
        <w:t xml:space="preserve"> shall include the following information for each item of </w:t>
      </w:r>
      <w:r w:rsidR="003312BD">
        <w:t>TD</w:t>
      </w:r>
      <w:r w:rsidR="00C26AB3">
        <w:t xml:space="preserve"> listed</w:t>
      </w:r>
      <w:r>
        <w:t>:</w:t>
      </w:r>
    </w:p>
    <w:p w14:paraId="28B0AB51" w14:textId="64B2A706" w:rsidR="008A4939" w:rsidRDefault="008A4939" w:rsidP="008A4939">
      <w:pPr>
        <w:pStyle w:val="SOWSubL1-ASDEFCON"/>
      </w:pPr>
      <w:r>
        <w:t>the item reference number, document number</w:t>
      </w:r>
      <w:r w:rsidR="005213D1">
        <w:t>,</w:t>
      </w:r>
      <w:r>
        <w:t xml:space="preserve"> drawing number</w:t>
      </w:r>
      <w:r w:rsidR="005213D1" w:rsidRPr="005213D1">
        <w:t xml:space="preserve"> </w:t>
      </w:r>
      <w:r w:rsidR="005213D1">
        <w:t>or S1000D Data Management List (DML) control number</w:t>
      </w:r>
      <w:r>
        <w:t>, as applicable;</w:t>
      </w:r>
    </w:p>
    <w:p w14:paraId="1CA9172C" w14:textId="4BD0BBFA" w:rsidR="008A4939" w:rsidRDefault="008A4939" w:rsidP="008A4939">
      <w:pPr>
        <w:pStyle w:val="SOWSubL1-ASDEFCON"/>
      </w:pPr>
      <w:r>
        <w:t xml:space="preserve">the name or title of the item of </w:t>
      </w:r>
      <w:r w:rsidR="003312BD">
        <w:t>TD</w:t>
      </w:r>
      <w:r>
        <w:t>;</w:t>
      </w:r>
    </w:p>
    <w:p w14:paraId="1DEAB72C" w14:textId="3AE8E39F" w:rsidR="008A4939" w:rsidRDefault="008A4939" w:rsidP="008A4939">
      <w:pPr>
        <w:pStyle w:val="SOWSubL1-ASDEFCON"/>
      </w:pPr>
      <w:r>
        <w:t>the version (</w:t>
      </w:r>
      <w:proofErr w:type="spellStart"/>
      <w:r>
        <w:t>eg</w:t>
      </w:r>
      <w:proofErr w:type="spellEnd"/>
      <w:r>
        <w:t xml:space="preserve">, draft, </w:t>
      </w:r>
      <w:r w:rsidR="005213D1">
        <w:t xml:space="preserve">update, </w:t>
      </w:r>
      <w:r>
        <w:t>final);</w:t>
      </w:r>
    </w:p>
    <w:p w14:paraId="5081D1B3" w14:textId="3D1E8676" w:rsidR="008A4939" w:rsidRDefault="008A4939" w:rsidP="008A4939">
      <w:pPr>
        <w:pStyle w:val="SOWSubL1-ASDEFCON"/>
      </w:pPr>
      <w:r>
        <w:t xml:space="preserve">the revision / </w:t>
      </w:r>
      <w:r w:rsidR="005213D1">
        <w:t xml:space="preserve">DML issue number / </w:t>
      </w:r>
      <w:r>
        <w:t>amendment status and release / issue date, as applicable;</w:t>
      </w:r>
    </w:p>
    <w:p w14:paraId="1F569B24" w14:textId="21FDEB60" w:rsidR="008A4939" w:rsidRDefault="008A4939" w:rsidP="008A4939">
      <w:pPr>
        <w:pStyle w:val="SOWSubL1-ASDEFCON"/>
      </w:pPr>
      <w:r>
        <w:t>a brief description</w:t>
      </w:r>
      <w:r w:rsidRPr="00FF365E">
        <w:t xml:space="preserve"> </w:t>
      </w:r>
      <w:r>
        <w:t xml:space="preserve">of the item of </w:t>
      </w:r>
      <w:r w:rsidR="003312BD">
        <w:t>TD</w:t>
      </w:r>
      <w:r>
        <w:t xml:space="preserve">, including its purpose </w:t>
      </w:r>
      <w:r w:rsidRPr="00DF7D8C">
        <w:t>or use</w:t>
      </w:r>
      <w:r>
        <w:t>;</w:t>
      </w:r>
    </w:p>
    <w:p w14:paraId="4743EA23" w14:textId="77CE35EF" w:rsidR="00894370" w:rsidRDefault="00DB416B" w:rsidP="00DB416B">
      <w:pPr>
        <w:pStyle w:val="SOWSubL1-ASDEFCON"/>
      </w:pPr>
      <w:r>
        <w:t>delivery details, including</w:t>
      </w:r>
      <w:r w:rsidR="00894370">
        <w:t>:</w:t>
      </w:r>
    </w:p>
    <w:p w14:paraId="03D3B30E" w14:textId="778467EB" w:rsidR="00AF409A" w:rsidRDefault="00AF409A" w:rsidP="00B44FFF">
      <w:pPr>
        <w:pStyle w:val="SOWSubL2-ASDEFCON"/>
      </w:pPr>
      <w:r>
        <w:t>if the item of TD is also to be delivered to the Commonwealth;</w:t>
      </w:r>
    </w:p>
    <w:p w14:paraId="01FEE522" w14:textId="2F77DDD2" w:rsidR="006B216F" w:rsidRDefault="006B216F" w:rsidP="00B44FFF">
      <w:pPr>
        <w:pStyle w:val="SOWSubL2-ASDEFCON"/>
      </w:pPr>
      <w:r>
        <w:t xml:space="preserve">the </w:t>
      </w:r>
      <w:r w:rsidR="00DB416B">
        <w:t xml:space="preserve">recipient </w:t>
      </w:r>
      <w:r w:rsidR="0083447A">
        <w:rPr>
          <w:color w:val="auto"/>
        </w:rPr>
        <w:t>ANZ</w:t>
      </w:r>
      <w:r>
        <w:t xml:space="preserve"> Subcontractor(s) to which the item of </w:t>
      </w:r>
      <w:r w:rsidR="003312BD">
        <w:t>TD</w:t>
      </w:r>
      <w:r>
        <w:t xml:space="preserve"> will be, or has been, provided;</w:t>
      </w:r>
    </w:p>
    <w:p w14:paraId="61F14707" w14:textId="28EC185B" w:rsidR="00AF409A" w:rsidRPr="00342200" w:rsidRDefault="00AF409A" w:rsidP="00AF409A">
      <w:pPr>
        <w:pStyle w:val="SOWSubL2-ASDEFCON"/>
        <w:rPr>
          <w:color w:val="auto"/>
        </w:rPr>
      </w:pPr>
      <w:r>
        <w:t>the required date / timeframe when the TD will be provided to each applicable Subcontractor (which may be identified in relation to Contract milestones);</w:t>
      </w:r>
      <w:r w:rsidR="009E4E0D" w:rsidRPr="009E4E0D">
        <w:rPr>
          <w:color w:val="auto"/>
        </w:rPr>
        <w:t xml:space="preserve"> </w:t>
      </w:r>
      <w:r w:rsidR="009E4E0D">
        <w:rPr>
          <w:color w:val="auto"/>
        </w:rPr>
        <w:t>and</w:t>
      </w:r>
    </w:p>
    <w:p w14:paraId="40322D3B" w14:textId="6472DB66" w:rsidR="006B216F" w:rsidRPr="006B216F" w:rsidRDefault="00AF409A" w:rsidP="006B216F">
      <w:pPr>
        <w:pStyle w:val="SOWSubL2-ASDEFCON"/>
        <w:rPr>
          <w:color w:val="auto"/>
        </w:rPr>
      </w:pPr>
      <w:r>
        <w:rPr>
          <w:color w:val="auto"/>
        </w:rPr>
        <w:t xml:space="preserve">if delivered, </w:t>
      </w:r>
      <w:r w:rsidR="006B216F">
        <w:rPr>
          <w:color w:val="auto"/>
        </w:rPr>
        <w:t xml:space="preserve">the date on which the </w:t>
      </w:r>
      <w:r w:rsidR="003312BD">
        <w:rPr>
          <w:color w:val="auto"/>
        </w:rPr>
        <w:t>TD</w:t>
      </w:r>
      <w:r w:rsidR="006B216F">
        <w:rPr>
          <w:color w:val="auto"/>
        </w:rPr>
        <w:t xml:space="preserve"> was provided to each applicable Subcontractor;</w:t>
      </w:r>
    </w:p>
    <w:p w14:paraId="588A891F" w14:textId="7F8D4360" w:rsidR="008A4939" w:rsidRDefault="008A4939" w:rsidP="008A4939">
      <w:pPr>
        <w:pStyle w:val="SOWSubL1-ASDEFCON"/>
      </w:pPr>
      <w:r>
        <w:t xml:space="preserve">the unique product </w:t>
      </w:r>
      <w:r w:rsidRPr="00DF7D8C">
        <w:t>identifi</w:t>
      </w:r>
      <w:r>
        <w:t>er</w:t>
      </w:r>
      <w:r w:rsidRPr="00DF7D8C">
        <w:t xml:space="preserve"> of the </w:t>
      </w:r>
      <w:r>
        <w:t>system / sub-system / Configuration Item (CI) / end-product</w:t>
      </w:r>
      <w:r w:rsidRPr="00FF365E">
        <w:t xml:space="preserve"> </w:t>
      </w:r>
      <w:r>
        <w:t xml:space="preserve">to which the item of </w:t>
      </w:r>
      <w:r w:rsidR="003312BD">
        <w:t>TD</w:t>
      </w:r>
      <w:r>
        <w:t xml:space="preserve"> relates</w:t>
      </w:r>
      <w:r w:rsidRPr="00DF7D8C">
        <w:t>;</w:t>
      </w:r>
    </w:p>
    <w:p w14:paraId="55BB4A52" w14:textId="537829E9" w:rsidR="008A4939" w:rsidRDefault="008A4939" w:rsidP="008A4939">
      <w:pPr>
        <w:pStyle w:val="SOWSubL1-ASDEFCON"/>
      </w:pPr>
      <w:r>
        <w:t>the name of the system / sub-system / CI / end-product</w:t>
      </w:r>
      <w:r w:rsidRPr="00FF365E">
        <w:t xml:space="preserve"> </w:t>
      </w:r>
      <w:r>
        <w:t xml:space="preserve">to which the item of </w:t>
      </w:r>
      <w:r w:rsidR="003312BD">
        <w:t>TD</w:t>
      </w:r>
      <w:r>
        <w:t xml:space="preserve"> relates;</w:t>
      </w:r>
    </w:p>
    <w:p w14:paraId="43ECB792" w14:textId="004F79E3" w:rsidR="00B44FFF" w:rsidRDefault="00B44FFF" w:rsidP="008A4939">
      <w:pPr>
        <w:pStyle w:val="SOWSubL1-ASDEFCON"/>
      </w:pPr>
      <w:r>
        <w:t xml:space="preserve">if </w:t>
      </w:r>
      <w:r w:rsidR="004E37A2">
        <w:t xml:space="preserve">Defence </w:t>
      </w:r>
      <w:r w:rsidR="005213D1">
        <w:t>Required Australian Industr</w:t>
      </w:r>
      <w:r w:rsidR="002E3D68">
        <w:t>ial</w:t>
      </w:r>
      <w:r w:rsidR="005213D1">
        <w:t xml:space="preserve"> Capabilities (</w:t>
      </w:r>
      <w:r>
        <w:t>DRAICs</w:t>
      </w:r>
      <w:r w:rsidR="005213D1">
        <w:t>)</w:t>
      </w:r>
      <w:r>
        <w:t xml:space="preserve"> are applicable to the Contract, the DRAIC to which the item of TD relates;</w:t>
      </w:r>
    </w:p>
    <w:p w14:paraId="0D1F0063" w14:textId="77777777" w:rsidR="008A4939" w:rsidRDefault="008A4939" w:rsidP="008A4939">
      <w:pPr>
        <w:pStyle w:val="SOWSubL1-ASDEFCON"/>
      </w:pPr>
      <w:r>
        <w:lastRenderedPageBreak/>
        <w:t>the source (</w:t>
      </w:r>
      <w:proofErr w:type="spellStart"/>
      <w:r>
        <w:t>eg</w:t>
      </w:r>
      <w:proofErr w:type="spellEnd"/>
      <w:r>
        <w:t xml:space="preserve">, name of </w:t>
      </w:r>
      <w:r w:rsidR="00980367">
        <w:t>entity</w:t>
      </w:r>
      <w:r>
        <w:t xml:space="preserve"> / supplier</w:t>
      </w:r>
      <w:r w:rsidRPr="004C0DB0">
        <w:t xml:space="preserve"> </w:t>
      </w:r>
      <w:r w:rsidR="00EE1900">
        <w:t>that created or provided it);</w:t>
      </w:r>
    </w:p>
    <w:p w14:paraId="795E8C36" w14:textId="5B3004CA" w:rsidR="007D2C8C" w:rsidRDefault="008A4939" w:rsidP="008A4939">
      <w:pPr>
        <w:pStyle w:val="SOWSubL1-ASDEFCON"/>
        <w:rPr>
          <w:color w:val="auto"/>
        </w:rPr>
      </w:pPr>
      <w:r w:rsidRPr="00342200">
        <w:rPr>
          <w:color w:val="auto"/>
        </w:rPr>
        <w:t>any applicable Australian or foreign security classification</w:t>
      </w:r>
      <w:r w:rsidR="00FD4A4C" w:rsidRPr="00342200">
        <w:rPr>
          <w:color w:val="auto"/>
        </w:rPr>
        <w:t>;</w:t>
      </w:r>
    </w:p>
    <w:p w14:paraId="3B35E0F0" w14:textId="248594E9" w:rsidR="000965E7" w:rsidRPr="006B216F" w:rsidRDefault="000965E7" w:rsidP="008A4939">
      <w:pPr>
        <w:pStyle w:val="SOWSubL1-ASDEFCON"/>
        <w:rPr>
          <w:color w:val="auto"/>
        </w:rPr>
      </w:pPr>
      <w:r>
        <w:t xml:space="preserve">the </w:t>
      </w:r>
      <w:r w:rsidR="00A67788">
        <w:t xml:space="preserve">activities to be performed by the </w:t>
      </w:r>
      <w:r w:rsidR="0083447A">
        <w:t>ANZ</w:t>
      </w:r>
      <w:r w:rsidR="00A67788">
        <w:t xml:space="preserve"> Subcontractor </w:t>
      </w:r>
      <w:r>
        <w:t xml:space="preserve">to which the </w:t>
      </w:r>
      <w:r w:rsidR="003312BD">
        <w:t>TD</w:t>
      </w:r>
      <w:r>
        <w:t xml:space="preserve"> relates;</w:t>
      </w:r>
    </w:p>
    <w:p w14:paraId="1D0331A1" w14:textId="33AE7D65" w:rsidR="00FD4A4C" w:rsidRPr="00F97C8D" w:rsidRDefault="003E197D" w:rsidP="008A4939">
      <w:pPr>
        <w:pStyle w:val="SOWSubL1-ASDEFCON"/>
        <w:rPr>
          <w:color w:val="auto"/>
        </w:rPr>
      </w:pPr>
      <w:bookmarkStart w:id="11" w:name="_Ref46151137"/>
      <w:r w:rsidRPr="00F97C8D">
        <w:rPr>
          <w:color w:val="auto"/>
        </w:rPr>
        <w:t xml:space="preserve">if rights to the </w:t>
      </w:r>
      <w:r w:rsidR="003312BD">
        <w:rPr>
          <w:color w:val="auto"/>
        </w:rPr>
        <w:t>TD</w:t>
      </w:r>
      <w:r w:rsidRPr="00F97C8D">
        <w:rPr>
          <w:color w:val="auto"/>
        </w:rPr>
        <w:t xml:space="preserve"> are restricted due to IP, </w:t>
      </w:r>
      <w:r w:rsidR="00FD4A4C" w:rsidRPr="00F97C8D">
        <w:rPr>
          <w:color w:val="auto"/>
        </w:rPr>
        <w:t>patent</w:t>
      </w:r>
      <w:r w:rsidRPr="00F97C8D">
        <w:rPr>
          <w:color w:val="auto"/>
        </w:rPr>
        <w:t xml:space="preserve">s, or similar, details of or cross-references to the licenses or other arrangements to allow the </w:t>
      </w:r>
      <w:r w:rsidR="0083447A">
        <w:rPr>
          <w:color w:val="auto"/>
        </w:rPr>
        <w:t>ANZ</w:t>
      </w:r>
      <w:r w:rsidR="00D52899">
        <w:rPr>
          <w:color w:val="auto"/>
        </w:rPr>
        <w:t xml:space="preserve"> </w:t>
      </w:r>
      <w:r w:rsidRPr="00F97C8D">
        <w:rPr>
          <w:color w:val="auto"/>
        </w:rPr>
        <w:t xml:space="preserve">Subcontractor to perform the work </w:t>
      </w:r>
      <w:r w:rsidR="00D52899">
        <w:rPr>
          <w:color w:val="auto"/>
        </w:rPr>
        <w:t>allocated to it under the Contract</w:t>
      </w:r>
      <w:r w:rsidR="00FD4A4C" w:rsidRPr="00F97C8D">
        <w:rPr>
          <w:color w:val="auto"/>
        </w:rPr>
        <w:t>; and</w:t>
      </w:r>
      <w:bookmarkEnd w:id="11"/>
    </w:p>
    <w:p w14:paraId="1E93AA2F" w14:textId="008CAE6F" w:rsidR="00FD4A4C" w:rsidRDefault="003E197D" w:rsidP="008A4939">
      <w:pPr>
        <w:pStyle w:val="SOWSubL1-ASDEFCON"/>
        <w:rPr>
          <w:color w:val="auto"/>
        </w:rPr>
      </w:pPr>
      <w:bookmarkStart w:id="12" w:name="_Ref46228664"/>
      <w:r w:rsidRPr="00F97C8D">
        <w:rPr>
          <w:color w:val="auto"/>
        </w:rPr>
        <w:t xml:space="preserve">if the use of </w:t>
      </w:r>
      <w:r w:rsidR="003312BD">
        <w:rPr>
          <w:color w:val="auto"/>
        </w:rPr>
        <w:t>TD</w:t>
      </w:r>
      <w:r w:rsidRPr="00F97C8D">
        <w:rPr>
          <w:color w:val="auto"/>
        </w:rPr>
        <w:t xml:space="preserve"> is restricted for reasons other </w:t>
      </w:r>
      <w:r w:rsidR="00425BA9" w:rsidRPr="00F97C8D">
        <w:rPr>
          <w:color w:val="auto"/>
        </w:rPr>
        <w:t>those</w:t>
      </w:r>
      <w:r w:rsidRPr="00F97C8D">
        <w:rPr>
          <w:color w:val="auto"/>
        </w:rPr>
        <w:t xml:space="preserve"> </w:t>
      </w:r>
      <w:r w:rsidR="00425BA9" w:rsidRPr="00F97C8D">
        <w:rPr>
          <w:color w:val="auto"/>
        </w:rPr>
        <w:t>defined for clause</w:t>
      </w:r>
      <w:r w:rsidRPr="00F97C8D">
        <w:rPr>
          <w:color w:val="auto"/>
        </w:rPr>
        <w:t xml:space="preserve"> </w:t>
      </w:r>
      <w:r w:rsidR="00425BA9" w:rsidRPr="00F97C8D">
        <w:rPr>
          <w:color w:val="auto"/>
        </w:rPr>
        <w:fldChar w:fldCharType="begin"/>
      </w:r>
      <w:r w:rsidR="00425BA9" w:rsidRPr="00F97C8D">
        <w:rPr>
          <w:color w:val="auto"/>
        </w:rPr>
        <w:instrText xml:space="preserve"> REF _Ref46151137 \w \h </w:instrText>
      </w:r>
      <w:r w:rsidR="00425BA9" w:rsidRPr="00F97C8D">
        <w:rPr>
          <w:color w:val="auto"/>
        </w:rPr>
      </w:r>
      <w:r w:rsidR="00425BA9" w:rsidRPr="00F97C8D">
        <w:rPr>
          <w:color w:val="auto"/>
        </w:rPr>
        <w:fldChar w:fldCharType="separate"/>
      </w:r>
      <w:r w:rsidR="00BD735E">
        <w:rPr>
          <w:color w:val="auto"/>
        </w:rPr>
        <w:t>6.2.2m</w:t>
      </w:r>
      <w:r w:rsidR="00425BA9" w:rsidRPr="00F97C8D">
        <w:rPr>
          <w:color w:val="auto"/>
        </w:rPr>
        <w:fldChar w:fldCharType="end"/>
      </w:r>
      <w:r w:rsidR="00425BA9" w:rsidRPr="00F97C8D">
        <w:rPr>
          <w:color w:val="auto"/>
        </w:rPr>
        <w:t xml:space="preserve"> (</w:t>
      </w:r>
      <w:proofErr w:type="spellStart"/>
      <w:r w:rsidR="00425BA9" w:rsidRPr="00F97C8D">
        <w:rPr>
          <w:color w:val="auto"/>
        </w:rPr>
        <w:t>eg</w:t>
      </w:r>
      <w:proofErr w:type="spellEnd"/>
      <w:r w:rsidR="00425BA9" w:rsidRPr="00F97C8D">
        <w:rPr>
          <w:color w:val="auto"/>
        </w:rPr>
        <w:t>, Export Controls</w:t>
      </w:r>
      <w:r w:rsidRPr="00F97C8D">
        <w:rPr>
          <w:color w:val="auto"/>
        </w:rPr>
        <w:t>), details of the applicable</w:t>
      </w:r>
      <w:r w:rsidR="00FD4A4C" w:rsidRPr="00F97C8D">
        <w:rPr>
          <w:color w:val="auto"/>
        </w:rPr>
        <w:t xml:space="preserve"> approvals (</w:t>
      </w:r>
      <w:proofErr w:type="spellStart"/>
      <w:r w:rsidR="00FD4A4C" w:rsidRPr="00F97C8D">
        <w:rPr>
          <w:color w:val="auto"/>
        </w:rPr>
        <w:t>eg</w:t>
      </w:r>
      <w:proofErr w:type="spellEnd"/>
      <w:r w:rsidR="00FD4A4C" w:rsidRPr="00F97C8D">
        <w:rPr>
          <w:color w:val="auto"/>
        </w:rPr>
        <w:t>, Technical Assistance Agreements)</w:t>
      </w:r>
      <w:r w:rsidR="00425BA9" w:rsidRPr="00F97C8D">
        <w:rPr>
          <w:color w:val="auto"/>
        </w:rPr>
        <w:t xml:space="preserve"> </w:t>
      </w:r>
      <w:r w:rsidR="00F12667" w:rsidRPr="00F97C8D">
        <w:rPr>
          <w:color w:val="auto"/>
        </w:rPr>
        <w:t xml:space="preserve">required </w:t>
      </w:r>
      <w:r w:rsidR="00425BA9" w:rsidRPr="00F97C8D">
        <w:rPr>
          <w:color w:val="auto"/>
        </w:rPr>
        <w:t xml:space="preserve">to allow the Subcontractor to perform the work </w:t>
      </w:r>
      <w:r w:rsidR="00D52899">
        <w:rPr>
          <w:color w:val="auto"/>
        </w:rPr>
        <w:t>allocated to it under the Contract</w:t>
      </w:r>
      <w:r w:rsidR="00FD4A4C" w:rsidRPr="00F97C8D">
        <w:rPr>
          <w:color w:val="auto"/>
        </w:rPr>
        <w:t>.</w:t>
      </w:r>
      <w:bookmarkEnd w:id="12"/>
    </w:p>
    <w:p w14:paraId="0BBBC06B" w14:textId="41EAC2DE" w:rsidR="003312BD" w:rsidRDefault="003312BD" w:rsidP="003312BD">
      <w:pPr>
        <w:pStyle w:val="SOWTL3-ASDEFCON"/>
      </w:pPr>
      <w:r>
        <w:t xml:space="preserve">The ASTDL shall enable the TD to be </w:t>
      </w:r>
      <w:r w:rsidR="005B1A67">
        <w:t xml:space="preserve">sorted and </w:t>
      </w:r>
      <w:r>
        <w:t>listed by:</w:t>
      </w:r>
    </w:p>
    <w:p w14:paraId="3CD1759B" w14:textId="40232536" w:rsidR="003312BD" w:rsidRDefault="003312BD" w:rsidP="003312BD">
      <w:pPr>
        <w:pStyle w:val="SOWSubL1-ASDEFCON"/>
      </w:pPr>
      <w:r>
        <w:t>the applicable system, sub-system, Configuration Item (CI), or end-product</w:t>
      </w:r>
      <w:r w:rsidR="00BF1EB0">
        <w:t xml:space="preserve"> (including hardware and software CIs or end-products)</w:t>
      </w:r>
      <w:r>
        <w:t xml:space="preserve">, with the breakdown </w:t>
      </w:r>
      <w:r w:rsidR="00466416">
        <w:t>structure</w:t>
      </w:r>
      <w:r>
        <w:t xml:space="preserve"> being consistent with the product breakdown structure for the Materiel System;</w:t>
      </w:r>
    </w:p>
    <w:p w14:paraId="4A997FA5" w14:textId="66A2F3AC" w:rsidR="003312BD" w:rsidRDefault="003312BD" w:rsidP="003312BD">
      <w:pPr>
        <w:pStyle w:val="SOWSubL1-ASDEFCON"/>
      </w:pPr>
      <w:r>
        <w:t>the source of the TD (</w:t>
      </w:r>
      <w:proofErr w:type="spellStart"/>
      <w:r>
        <w:t>eg</w:t>
      </w:r>
      <w:proofErr w:type="spellEnd"/>
      <w:r>
        <w:t xml:space="preserve">, the name of the Subcontractor </w:t>
      </w:r>
      <w:r w:rsidR="00466416">
        <w:t xml:space="preserve">/ supplier </w:t>
      </w:r>
      <w:r>
        <w:t>that created or provided it);</w:t>
      </w:r>
    </w:p>
    <w:p w14:paraId="3AA7C80B" w14:textId="77777777" w:rsidR="00B44FFF" w:rsidRDefault="003312BD" w:rsidP="003312BD">
      <w:pPr>
        <w:pStyle w:val="SOWSubL1-ASDEFCON"/>
      </w:pPr>
      <w:r>
        <w:t xml:space="preserve">the Subcontractors to which the TD </w:t>
      </w:r>
      <w:r w:rsidR="005B1A67">
        <w:t xml:space="preserve">will be / </w:t>
      </w:r>
      <w:r>
        <w:t>has been provided</w:t>
      </w:r>
      <w:r w:rsidR="00B44FFF">
        <w:t>; and</w:t>
      </w:r>
    </w:p>
    <w:p w14:paraId="2A60FD49" w14:textId="66EF82DF" w:rsidR="003312BD" w:rsidRPr="00F97C8D" w:rsidRDefault="00B44FFF" w:rsidP="003312BD">
      <w:pPr>
        <w:pStyle w:val="SOWSubL1-ASDEFCON"/>
      </w:pPr>
      <w:r>
        <w:t xml:space="preserve">if DRAICs are applicable to the Contract, the DRAIC to which the TD </w:t>
      </w:r>
      <w:r w:rsidR="00184359">
        <w:t>relates</w:t>
      </w:r>
      <w:r w:rsidR="003312BD">
        <w:t>.</w:t>
      </w:r>
    </w:p>
    <w:sectPr w:rsidR="003312BD" w:rsidRPr="00F97C8D" w:rsidSect="009E4E0D">
      <w:headerReference w:type="default" r:id="rId8"/>
      <w:footerReference w:type="default" r:id="rId9"/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7DAF3" w14:textId="77777777" w:rsidR="00934BAA" w:rsidRDefault="00934BAA">
      <w:r>
        <w:separator/>
      </w:r>
    </w:p>
  </w:endnote>
  <w:endnote w:type="continuationSeparator" w:id="0">
    <w:p w14:paraId="7A5A0EB3" w14:textId="77777777" w:rsidR="00934BAA" w:rsidRDefault="00934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D15DAE" w14:paraId="368E2E25" w14:textId="77777777" w:rsidTr="00236D77">
      <w:tc>
        <w:tcPr>
          <w:tcW w:w="2500" w:type="pct"/>
        </w:tcPr>
        <w:p w14:paraId="3DF90B76" w14:textId="77777777" w:rsidR="00D15DAE" w:rsidRDefault="00D15DAE" w:rsidP="00236D77">
          <w:pPr>
            <w:pStyle w:val="ASDEFCONHeaderFooterLeft"/>
          </w:pPr>
        </w:p>
      </w:tc>
      <w:tc>
        <w:tcPr>
          <w:tcW w:w="2500" w:type="pct"/>
        </w:tcPr>
        <w:p w14:paraId="16397D72" w14:textId="3E1B21D6" w:rsidR="00D15DAE" w:rsidRPr="00236D77" w:rsidRDefault="00D15DAE" w:rsidP="00236D77">
          <w:pPr>
            <w:pStyle w:val="ASDEFCONHeaderFooterRight"/>
            <w:rPr>
              <w:szCs w:val="16"/>
            </w:rPr>
          </w:pPr>
          <w:r w:rsidRPr="00236D77">
            <w:rPr>
              <w:rStyle w:val="PageNumber"/>
              <w:color w:val="auto"/>
              <w:szCs w:val="16"/>
            </w:rPr>
            <w:fldChar w:fldCharType="begin"/>
          </w:r>
          <w:r w:rsidRPr="00236D77">
            <w:rPr>
              <w:rStyle w:val="PageNumber"/>
              <w:color w:val="auto"/>
              <w:szCs w:val="16"/>
            </w:rPr>
            <w:instrText xml:space="preserve"> PAGE </w:instrText>
          </w:r>
          <w:r w:rsidRPr="00236D77">
            <w:rPr>
              <w:rStyle w:val="PageNumber"/>
              <w:color w:val="auto"/>
              <w:szCs w:val="16"/>
            </w:rPr>
            <w:fldChar w:fldCharType="separate"/>
          </w:r>
          <w:r w:rsidR="00CF7CFC">
            <w:rPr>
              <w:rStyle w:val="PageNumber"/>
              <w:noProof/>
              <w:color w:val="auto"/>
              <w:szCs w:val="16"/>
            </w:rPr>
            <w:t>1</w:t>
          </w:r>
          <w:r w:rsidRPr="00236D77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D15DAE" w14:paraId="49AA5E5B" w14:textId="77777777" w:rsidTr="00236D77">
      <w:tc>
        <w:tcPr>
          <w:tcW w:w="5000" w:type="pct"/>
          <w:gridSpan w:val="2"/>
        </w:tcPr>
        <w:p w14:paraId="078D0FF8" w14:textId="3B2DEBBE" w:rsidR="00D15DAE" w:rsidRDefault="00F02FDC" w:rsidP="006842C9">
          <w:pPr>
            <w:pStyle w:val="ASDEFCONHeaderFooterClassification"/>
          </w:pPr>
          <w:r>
            <w:t>OFFICIAL</w:t>
          </w:r>
        </w:p>
      </w:tc>
    </w:tr>
  </w:tbl>
  <w:p w14:paraId="27F2AAEB" w14:textId="77777777" w:rsidR="00D15DAE" w:rsidRPr="00236D77" w:rsidRDefault="00D15DAE" w:rsidP="00236D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68016" w14:textId="77777777" w:rsidR="00934BAA" w:rsidRDefault="00934BAA">
      <w:r>
        <w:separator/>
      </w:r>
    </w:p>
  </w:footnote>
  <w:footnote w:type="continuationSeparator" w:id="0">
    <w:p w14:paraId="4C8C9930" w14:textId="77777777" w:rsidR="00934BAA" w:rsidRDefault="00934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D15DAE" w14:paraId="3E9A80DB" w14:textId="77777777" w:rsidTr="00236D77">
      <w:tc>
        <w:tcPr>
          <w:tcW w:w="5000" w:type="pct"/>
          <w:gridSpan w:val="2"/>
        </w:tcPr>
        <w:p w14:paraId="03A3D121" w14:textId="3EC1C034" w:rsidR="00D15DAE" w:rsidRDefault="00F02FDC" w:rsidP="00F02FDC">
          <w:pPr>
            <w:pStyle w:val="ASDEFCONHeaderFooterClassification"/>
          </w:pPr>
          <w:r>
            <w:t>OFFICIAL</w:t>
          </w:r>
        </w:p>
      </w:tc>
    </w:tr>
    <w:tr w:rsidR="00D15DAE" w14:paraId="16A67047" w14:textId="77777777" w:rsidTr="00236D77">
      <w:tc>
        <w:tcPr>
          <w:tcW w:w="2500" w:type="pct"/>
        </w:tcPr>
        <w:p w14:paraId="484E2F4B" w14:textId="34271DBB" w:rsidR="00D15DAE" w:rsidRDefault="00934BAA" w:rsidP="00236D77">
          <w:pPr>
            <w:pStyle w:val="ASDEFCONHeaderFooterLeft"/>
          </w:pPr>
          <w:fldSimple w:instr=" DOCPROPERTY Header_Left ">
            <w:r w:rsidR="00BD735E">
              <w:t>ASDEFCON (Strategic Materiel)</w:t>
            </w:r>
          </w:fldSimple>
        </w:p>
      </w:tc>
      <w:tc>
        <w:tcPr>
          <w:tcW w:w="2500" w:type="pct"/>
        </w:tcPr>
        <w:p w14:paraId="7A793300" w14:textId="1D1B5D98" w:rsidR="00D15DAE" w:rsidRDefault="00CF7CFC" w:rsidP="006842C9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BD735E">
            <w:t>DID-PM-AIC-ASTDL</w:t>
          </w:r>
          <w:r>
            <w:fldChar w:fldCharType="end"/>
          </w:r>
          <w:r w:rsidR="00D15DAE">
            <w:t>-</w:t>
          </w:r>
          <w:r>
            <w:fldChar w:fldCharType="begin"/>
          </w:r>
          <w:r>
            <w:instrText xml:space="preserve"> DOCPROPERTY  Version</w:instrText>
          </w:r>
          <w:r>
            <w:instrText xml:space="preserve">  \* MERGEFORMAT </w:instrText>
          </w:r>
          <w:r>
            <w:fldChar w:fldCharType="separate"/>
          </w:r>
          <w:r w:rsidR="001751B2">
            <w:t>V5.3</w:t>
          </w:r>
          <w:r>
            <w:fldChar w:fldCharType="end"/>
          </w:r>
        </w:p>
      </w:tc>
    </w:tr>
  </w:tbl>
  <w:p w14:paraId="0A2E0F37" w14:textId="77777777" w:rsidR="00D15DAE" w:rsidRPr="003C77A8" w:rsidRDefault="00D15DAE" w:rsidP="00236D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28"/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2"/>
  </w:num>
  <w:num w:numId="7">
    <w:abstractNumId w:val="30"/>
  </w:num>
  <w:num w:numId="8">
    <w:abstractNumId w:val="19"/>
  </w:num>
  <w:num w:numId="9">
    <w:abstractNumId w:val="23"/>
  </w:num>
  <w:num w:numId="10">
    <w:abstractNumId w:val="34"/>
  </w:num>
  <w:num w:numId="11">
    <w:abstractNumId w:val="13"/>
  </w:num>
  <w:num w:numId="12">
    <w:abstractNumId w:val="16"/>
  </w:num>
  <w:num w:numId="13">
    <w:abstractNumId w:val="36"/>
  </w:num>
  <w:num w:numId="14">
    <w:abstractNumId w:val="10"/>
  </w:num>
  <w:num w:numId="15">
    <w:abstractNumId w:val="8"/>
  </w:num>
  <w:num w:numId="16">
    <w:abstractNumId w:val="3"/>
  </w:num>
  <w:num w:numId="17">
    <w:abstractNumId w:val="5"/>
  </w:num>
  <w:num w:numId="18">
    <w:abstractNumId w:val="15"/>
  </w:num>
  <w:num w:numId="19">
    <w:abstractNumId w:val="2"/>
  </w:num>
  <w:num w:numId="20">
    <w:abstractNumId w:val="21"/>
  </w:num>
  <w:num w:numId="21">
    <w:abstractNumId w:val="32"/>
  </w:num>
  <w:num w:numId="22">
    <w:abstractNumId w:val="29"/>
  </w:num>
  <w:num w:numId="23">
    <w:abstractNumId w:val="0"/>
  </w:num>
  <w:num w:numId="24">
    <w:abstractNumId w:val="17"/>
  </w:num>
  <w:num w:numId="25">
    <w:abstractNumId w:val="33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</w:num>
  <w:num w:numId="29">
    <w:abstractNumId w:val="6"/>
  </w:num>
  <w:num w:numId="30">
    <w:abstractNumId w:val="35"/>
  </w:num>
  <w:num w:numId="31">
    <w:abstractNumId w:val="14"/>
  </w:num>
  <w:num w:numId="32">
    <w:abstractNumId w:val="22"/>
  </w:num>
  <w:num w:numId="33">
    <w:abstractNumId w:val="9"/>
  </w:num>
  <w:num w:numId="34">
    <w:abstractNumId w:val="4"/>
  </w:num>
  <w:num w:numId="35">
    <w:abstractNumId w:val="25"/>
  </w:num>
  <w:num w:numId="36">
    <w:abstractNumId w:val="26"/>
  </w:num>
  <w:num w:numId="37">
    <w:abstractNumId w:val="7"/>
  </w:num>
  <w:num w:numId="38">
    <w:abstractNumId w:val="7"/>
  </w:num>
  <w:num w:numId="39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0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1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2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27"/>
  </w:num>
  <w:num w:numId="44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6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717"/>
    <w:rsid w:val="00025A2B"/>
    <w:rsid w:val="000334A7"/>
    <w:rsid w:val="00067DD8"/>
    <w:rsid w:val="00077F63"/>
    <w:rsid w:val="000965E7"/>
    <w:rsid w:val="000B1714"/>
    <w:rsid w:val="000B26CE"/>
    <w:rsid w:val="000C16FB"/>
    <w:rsid w:val="000D6BE0"/>
    <w:rsid w:val="000E59AA"/>
    <w:rsid w:val="000E7DE0"/>
    <w:rsid w:val="000E7E4D"/>
    <w:rsid w:val="00107540"/>
    <w:rsid w:val="001130B3"/>
    <w:rsid w:val="001153DF"/>
    <w:rsid w:val="00151578"/>
    <w:rsid w:val="001751B2"/>
    <w:rsid w:val="001802B6"/>
    <w:rsid w:val="00184359"/>
    <w:rsid w:val="00196ECB"/>
    <w:rsid w:val="001A2ADF"/>
    <w:rsid w:val="001B3E2E"/>
    <w:rsid w:val="001B49D5"/>
    <w:rsid w:val="001B6984"/>
    <w:rsid w:val="001C15A4"/>
    <w:rsid w:val="001C2F89"/>
    <w:rsid w:val="001D7943"/>
    <w:rsid w:val="001E5502"/>
    <w:rsid w:val="001E6B1C"/>
    <w:rsid w:val="00204C53"/>
    <w:rsid w:val="0021342F"/>
    <w:rsid w:val="00222D7F"/>
    <w:rsid w:val="002269AC"/>
    <w:rsid w:val="00236D77"/>
    <w:rsid w:val="002454B2"/>
    <w:rsid w:val="00251A72"/>
    <w:rsid w:val="00264E43"/>
    <w:rsid w:val="0026691D"/>
    <w:rsid w:val="002A6195"/>
    <w:rsid w:val="002B4DB7"/>
    <w:rsid w:val="002C4FD6"/>
    <w:rsid w:val="002D4CB4"/>
    <w:rsid w:val="002E1010"/>
    <w:rsid w:val="002E3D68"/>
    <w:rsid w:val="00304B20"/>
    <w:rsid w:val="003147A4"/>
    <w:rsid w:val="00314F1A"/>
    <w:rsid w:val="00320DA7"/>
    <w:rsid w:val="0032430E"/>
    <w:rsid w:val="003312BD"/>
    <w:rsid w:val="00337A96"/>
    <w:rsid w:val="00341E8B"/>
    <w:rsid w:val="00342200"/>
    <w:rsid w:val="0035296E"/>
    <w:rsid w:val="0036026B"/>
    <w:rsid w:val="003671FC"/>
    <w:rsid w:val="00372A53"/>
    <w:rsid w:val="0037411D"/>
    <w:rsid w:val="003B3E10"/>
    <w:rsid w:val="003C6DBB"/>
    <w:rsid w:val="003C77A8"/>
    <w:rsid w:val="003D215C"/>
    <w:rsid w:val="003E197D"/>
    <w:rsid w:val="003E33BC"/>
    <w:rsid w:val="003F364B"/>
    <w:rsid w:val="004005A5"/>
    <w:rsid w:val="00401BC8"/>
    <w:rsid w:val="00425BA9"/>
    <w:rsid w:val="00434CDC"/>
    <w:rsid w:val="00435C49"/>
    <w:rsid w:val="00442F03"/>
    <w:rsid w:val="00444FAC"/>
    <w:rsid w:val="00457743"/>
    <w:rsid w:val="00465887"/>
    <w:rsid w:val="00466416"/>
    <w:rsid w:val="00472ACF"/>
    <w:rsid w:val="004B631B"/>
    <w:rsid w:val="004C7575"/>
    <w:rsid w:val="004E37A2"/>
    <w:rsid w:val="004E4BC1"/>
    <w:rsid w:val="004F4F48"/>
    <w:rsid w:val="004F5875"/>
    <w:rsid w:val="005014F9"/>
    <w:rsid w:val="0050382C"/>
    <w:rsid w:val="0051475F"/>
    <w:rsid w:val="00515BBF"/>
    <w:rsid w:val="00515F17"/>
    <w:rsid w:val="005213D1"/>
    <w:rsid w:val="00524D26"/>
    <w:rsid w:val="00536654"/>
    <w:rsid w:val="005407A4"/>
    <w:rsid w:val="00540AA6"/>
    <w:rsid w:val="005458B6"/>
    <w:rsid w:val="0056286C"/>
    <w:rsid w:val="00580716"/>
    <w:rsid w:val="00580CD9"/>
    <w:rsid w:val="005B1A67"/>
    <w:rsid w:val="005C107F"/>
    <w:rsid w:val="006030AA"/>
    <w:rsid w:val="006278B9"/>
    <w:rsid w:val="00634A36"/>
    <w:rsid w:val="006842C9"/>
    <w:rsid w:val="006A618E"/>
    <w:rsid w:val="006B1622"/>
    <w:rsid w:val="006B216F"/>
    <w:rsid w:val="006C0B44"/>
    <w:rsid w:val="006C1EEB"/>
    <w:rsid w:val="006D0810"/>
    <w:rsid w:val="006D3CF3"/>
    <w:rsid w:val="006D581B"/>
    <w:rsid w:val="006E5B94"/>
    <w:rsid w:val="006E6ED8"/>
    <w:rsid w:val="0070284E"/>
    <w:rsid w:val="007135E6"/>
    <w:rsid w:val="00730DE9"/>
    <w:rsid w:val="00751879"/>
    <w:rsid w:val="00752BED"/>
    <w:rsid w:val="00774DFE"/>
    <w:rsid w:val="007752DA"/>
    <w:rsid w:val="007908F2"/>
    <w:rsid w:val="00793409"/>
    <w:rsid w:val="007A12DB"/>
    <w:rsid w:val="007B4410"/>
    <w:rsid w:val="007D2C8C"/>
    <w:rsid w:val="007E16BB"/>
    <w:rsid w:val="007F2D68"/>
    <w:rsid w:val="007F4EA1"/>
    <w:rsid w:val="00802C49"/>
    <w:rsid w:val="00804094"/>
    <w:rsid w:val="00825593"/>
    <w:rsid w:val="00830B75"/>
    <w:rsid w:val="0083447A"/>
    <w:rsid w:val="00843D9E"/>
    <w:rsid w:val="008750F2"/>
    <w:rsid w:val="00894370"/>
    <w:rsid w:val="008A4939"/>
    <w:rsid w:val="008B167B"/>
    <w:rsid w:val="008D1472"/>
    <w:rsid w:val="008D731E"/>
    <w:rsid w:val="00907738"/>
    <w:rsid w:val="009232B3"/>
    <w:rsid w:val="0093028C"/>
    <w:rsid w:val="00933C42"/>
    <w:rsid w:val="00934BAA"/>
    <w:rsid w:val="00956DA3"/>
    <w:rsid w:val="00957A11"/>
    <w:rsid w:val="00962B69"/>
    <w:rsid w:val="0097756D"/>
    <w:rsid w:val="00980367"/>
    <w:rsid w:val="009904B9"/>
    <w:rsid w:val="009B4B15"/>
    <w:rsid w:val="009B5392"/>
    <w:rsid w:val="009B5BE1"/>
    <w:rsid w:val="009C2A96"/>
    <w:rsid w:val="009C4014"/>
    <w:rsid w:val="009C4FD3"/>
    <w:rsid w:val="009C5FD0"/>
    <w:rsid w:val="009E4E0D"/>
    <w:rsid w:val="009E5492"/>
    <w:rsid w:val="009F3687"/>
    <w:rsid w:val="009F6B37"/>
    <w:rsid w:val="00A01B09"/>
    <w:rsid w:val="00A046B7"/>
    <w:rsid w:val="00A41037"/>
    <w:rsid w:val="00A44996"/>
    <w:rsid w:val="00A66D4E"/>
    <w:rsid w:val="00A67788"/>
    <w:rsid w:val="00A76DD0"/>
    <w:rsid w:val="00A8242B"/>
    <w:rsid w:val="00A90D10"/>
    <w:rsid w:val="00A96027"/>
    <w:rsid w:val="00AA4412"/>
    <w:rsid w:val="00AB4346"/>
    <w:rsid w:val="00AD5E97"/>
    <w:rsid w:val="00AF409A"/>
    <w:rsid w:val="00AF7919"/>
    <w:rsid w:val="00B133A7"/>
    <w:rsid w:val="00B24A11"/>
    <w:rsid w:val="00B35A97"/>
    <w:rsid w:val="00B35BB3"/>
    <w:rsid w:val="00B44FFF"/>
    <w:rsid w:val="00B6563E"/>
    <w:rsid w:val="00B67732"/>
    <w:rsid w:val="00BA34DB"/>
    <w:rsid w:val="00BC28BA"/>
    <w:rsid w:val="00BC7E7A"/>
    <w:rsid w:val="00BD735E"/>
    <w:rsid w:val="00BF1EB0"/>
    <w:rsid w:val="00BF6169"/>
    <w:rsid w:val="00C045B2"/>
    <w:rsid w:val="00C06FC6"/>
    <w:rsid w:val="00C246A6"/>
    <w:rsid w:val="00C26AB3"/>
    <w:rsid w:val="00C40F0E"/>
    <w:rsid w:val="00C67DD8"/>
    <w:rsid w:val="00C74A3F"/>
    <w:rsid w:val="00C7695C"/>
    <w:rsid w:val="00C9265E"/>
    <w:rsid w:val="00CB6ECB"/>
    <w:rsid w:val="00CF3600"/>
    <w:rsid w:val="00CF6F7D"/>
    <w:rsid w:val="00CF7CFC"/>
    <w:rsid w:val="00D15DAE"/>
    <w:rsid w:val="00D15F8B"/>
    <w:rsid w:val="00D40C21"/>
    <w:rsid w:val="00D42ED9"/>
    <w:rsid w:val="00D52899"/>
    <w:rsid w:val="00D60EED"/>
    <w:rsid w:val="00D61960"/>
    <w:rsid w:val="00D62FC1"/>
    <w:rsid w:val="00D65CBD"/>
    <w:rsid w:val="00D70AFC"/>
    <w:rsid w:val="00D802D7"/>
    <w:rsid w:val="00D840FC"/>
    <w:rsid w:val="00D87B95"/>
    <w:rsid w:val="00D93C33"/>
    <w:rsid w:val="00D94987"/>
    <w:rsid w:val="00DB416B"/>
    <w:rsid w:val="00DC5BC5"/>
    <w:rsid w:val="00DD0B03"/>
    <w:rsid w:val="00DD316D"/>
    <w:rsid w:val="00DE07DC"/>
    <w:rsid w:val="00DF0088"/>
    <w:rsid w:val="00DF7D8C"/>
    <w:rsid w:val="00E130E2"/>
    <w:rsid w:val="00E26A29"/>
    <w:rsid w:val="00E41BC7"/>
    <w:rsid w:val="00E456DD"/>
    <w:rsid w:val="00E70398"/>
    <w:rsid w:val="00E75635"/>
    <w:rsid w:val="00E75D65"/>
    <w:rsid w:val="00E77F4F"/>
    <w:rsid w:val="00E849C4"/>
    <w:rsid w:val="00E92280"/>
    <w:rsid w:val="00E9520C"/>
    <w:rsid w:val="00EC129C"/>
    <w:rsid w:val="00ED371E"/>
    <w:rsid w:val="00EE1900"/>
    <w:rsid w:val="00EE6520"/>
    <w:rsid w:val="00EE75F9"/>
    <w:rsid w:val="00EF142B"/>
    <w:rsid w:val="00EF1964"/>
    <w:rsid w:val="00EF2CB1"/>
    <w:rsid w:val="00F02FDC"/>
    <w:rsid w:val="00F12667"/>
    <w:rsid w:val="00F31219"/>
    <w:rsid w:val="00F41FCE"/>
    <w:rsid w:val="00F50A44"/>
    <w:rsid w:val="00F56717"/>
    <w:rsid w:val="00F602A3"/>
    <w:rsid w:val="00F70C79"/>
    <w:rsid w:val="00F86A4D"/>
    <w:rsid w:val="00F951D6"/>
    <w:rsid w:val="00F95286"/>
    <w:rsid w:val="00F97C8D"/>
    <w:rsid w:val="00FB2260"/>
    <w:rsid w:val="00FB6E8B"/>
    <w:rsid w:val="00FC2B07"/>
    <w:rsid w:val="00FC4ECF"/>
    <w:rsid w:val="00FD4A4C"/>
    <w:rsid w:val="00FF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1EFDB08"/>
  <w15:docId w15:val="{B1720FC0-C07D-4C98-B72A-8EBFCA1DA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7CFC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h1"/>
    <w:basedOn w:val="Normal"/>
    <w:next w:val="Normal"/>
    <w:link w:val="Heading1Char"/>
    <w:qFormat/>
    <w:rsid w:val="00CF7CFC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CF7CFC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uiPriority w:val="9"/>
    <w:qFormat/>
    <w:rsid w:val="00CF7CFC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CF7CFC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DF0088"/>
    <w:pPr>
      <w:numPr>
        <w:ilvl w:val="4"/>
        <w:numId w:val="23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DF0088"/>
    <w:pPr>
      <w:numPr>
        <w:ilvl w:val="5"/>
        <w:numId w:val="23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DF0088"/>
    <w:pPr>
      <w:numPr>
        <w:ilvl w:val="6"/>
        <w:numId w:val="23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DF0088"/>
    <w:pPr>
      <w:numPr>
        <w:ilvl w:val="7"/>
        <w:numId w:val="23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DF0088"/>
    <w:pPr>
      <w:numPr>
        <w:ilvl w:val="8"/>
        <w:numId w:val="23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CF7CF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F7CFC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TOC1">
    <w:name w:val="toc 1"/>
    <w:autoRedefine/>
    <w:uiPriority w:val="39"/>
    <w:rsid w:val="00CF7CFC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2">
    <w:name w:val="toc 2"/>
    <w:next w:val="ASDEFCONNormal"/>
    <w:autoRedefine/>
    <w:uiPriority w:val="39"/>
    <w:rsid w:val="00CF7CFC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CF7CFC"/>
    <w:pPr>
      <w:spacing w:after="100"/>
      <w:ind w:left="400"/>
    </w:pPr>
  </w:style>
  <w:style w:type="paragraph" w:styleId="BalloonText">
    <w:name w:val="Balloon Text"/>
    <w:basedOn w:val="Normal"/>
    <w:link w:val="BalloonTextChar1"/>
    <w:rsid w:val="000B26CE"/>
    <w:rPr>
      <w:rFonts w:ascii="Calibri" w:hAnsi="Calibri"/>
      <w:sz w:val="18"/>
      <w:szCs w:val="20"/>
    </w:rPr>
  </w:style>
  <w:style w:type="paragraph" w:styleId="CommentSubject">
    <w:name w:val="annotation subject"/>
    <w:basedOn w:val="CommentText"/>
    <w:next w:val="CommentText"/>
    <w:semiHidden/>
    <w:rsid w:val="00F56717"/>
    <w:rPr>
      <w:b/>
      <w:bCs/>
    </w:rPr>
  </w:style>
  <w:style w:type="table" w:styleId="TableGrid">
    <w:name w:val="Table Grid"/>
    <w:basedOn w:val="TableNormal"/>
    <w:rsid w:val="00372A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372A53"/>
  </w:style>
  <w:style w:type="paragraph" w:customStyle="1" w:styleId="Style1">
    <w:name w:val="Style1"/>
    <w:basedOn w:val="Heading4"/>
    <w:rsid w:val="00372A53"/>
    <w:rPr>
      <w:b w:val="0"/>
    </w:rPr>
  </w:style>
  <w:style w:type="paragraph" w:styleId="EndnoteText">
    <w:name w:val="endnote text"/>
    <w:basedOn w:val="Normal"/>
    <w:semiHidden/>
    <w:rsid w:val="00372A53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CF7CFC"/>
    <w:pPr>
      <w:keepNext/>
      <w:keepLines/>
      <w:numPr>
        <w:ilvl w:val="1"/>
        <w:numId w:val="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CF7CFC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CF7CFC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CF7CFC"/>
    <w:pPr>
      <w:numPr>
        <w:ilvl w:val="2"/>
        <w:numId w:val="3"/>
      </w:numPr>
    </w:pPr>
  </w:style>
  <w:style w:type="paragraph" w:customStyle="1" w:styleId="COTCOCLV1-ASDEFCON">
    <w:name w:val="COT/COC LV1 - ASDEFCON"/>
    <w:basedOn w:val="ASDEFCONNormal"/>
    <w:next w:val="COTCOCLV2-ASDEFCON"/>
    <w:rsid w:val="00CF7CFC"/>
    <w:pPr>
      <w:keepNext/>
      <w:keepLines/>
      <w:numPr>
        <w:numId w:val="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CF7CFC"/>
    <w:pPr>
      <w:numPr>
        <w:ilvl w:val="3"/>
        <w:numId w:val="3"/>
      </w:numPr>
    </w:pPr>
  </w:style>
  <w:style w:type="paragraph" w:customStyle="1" w:styleId="COTCOCLV5-ASDEFCON">
    <w:name w:val="COT/COC LV5 - ASDEFCON"/>
    <w:basedOn w:val="ASDEFCONNormal"/>
    <w:rsid w:val="00CF7CFC"/>
    <w:pPr>
      <w:numPr>
        <w:ilvl w:val="4"/>
        <w:numId w:val="3"/>
      </w:numPr>
    </w:pPr>
  </w:style>
  <w:style w:type="paragraph" w:customStyle="1" w:styleId="COTCOCLV6-ASDEFCON">
    <w:name w:val="COT/COC LV6 - ASDEFCON"/>
    <w:basedOn w:val="ASDEFCONNormal"/>
    <w:rsid w:val="00CF7CFC"/>
    <w:pPr>
      <w:keepLines/>
      <w:numPr>
        <w:ilvl w:val="5"/>
        <w:numId w:val="3"/>
      </w:numPr>
    </w:pPr>
  </w:style>
  <w:style w:type="paragraph" w:customStyle="1" w:styleId="ASDEFCONOption">
    <w:name w:val="ASDEFCON Option"/>
    <w:basedOn w:val="ASDEFCONNormal"/>
    <w:rsid w:val="00CF7CFC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CF7CFC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CF7CFC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CF7CFC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CF7CFC"/>
    <w:pPr>
      <w:keepNext/>
      <w:keepLines/>
      <w:numPr>
        <w:numId w:val="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CF7CFC"/>
    <w:pPr>
      <w:numPr>
        <w:ilvl w:val="1"/>
        <w:numId w:val="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CF7CFC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CF7CFC"/>
    <w:pPr>
      <w:numPr>
        <w:ilvl w:val="2"/>
        <w:numId w:val="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CF7CFC"/>
    <w:pPr>
      <w:numPr>
        <w:ilvl w:val="3"/>
        <w:numId w:val="4"/>
      </w:numPr>
    </w:pPr>
    <w:rPr>
      <w:szCs w:val="24"/>
    </w:rPr>
  </w:style>
  <w:style w:type="paragraph" w:customStyle="1" w:styleId="ASDEFCONCoverTitle">
    <w:name w:val="ASDEFCON Cover Title"/>
    <w:rsid w:val="00CF7CFC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CF7CFC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CF7CFC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CF7CFC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CF7CFC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CF7CFC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CF7CFC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CF7CFC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CF7CFC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CF7CFC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CF7CFC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CF7CFC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CF7CFC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CF7CFC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CF7CFC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CF7CFC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CF7CFC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CF7CFC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CF7CFC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CF7CFC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CF7CFC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CF7CFC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CF7CFC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CF7CFC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CF7CFC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CF7CF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CF7CFC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CF7CF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CF7CFC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CF7CF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CF7CFC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CF7CFC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CF7CFC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CF7CFC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CF7CFC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CF7CFC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semiHidden/>
    <w:rsid w:val="00CF7CFC"/>
    <w:rPr>
      <w:szCs w:val="20"/>
    </w:rPr>
  </w:style>
  <w:style w:type="character" w:customStyle="1" w:styleId="FootnoteTextChar">
    <w:name w:val="Footnote Text Char"/>
    <w:link w:val="FootnoteText"/>
    <w:semiHidden/>
    <w:rsid w:val="005014F9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CF7CFC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CF7CFC"/>
    <w:pPr>
      <w:numPr>
        <w:numId w:val="10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CF7CFC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CF7CFC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CF7CFC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CF7CFC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CF7CFC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CF7CFC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CF7CFC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CF7CFC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CF7CFC"/>
    <w:pPr>
      <w:numPr>
        <w:numId w:val="11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CF7CFC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CF7CFC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CF7CFC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CF7CFC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CF7CFC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CF7CFC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CF7CFC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CF7CFC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CF7CFC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CF7CFC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CF7CFC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CF7CFC"/>
    <w:pPr>
      <w:numPr>
        <w:ilvl w:val="6"/>
        <w:numId w:val="12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CF7CFC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CF7CFC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CF7CFC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CF7CFC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CF7CFC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CF7CFC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CF7CFC"/>
    <w:pPr>
      <w:numPr>
        <w:numId w:val="16"/>
      </w:numPr>
    </w:pPr>
    <w:rPr>
      <w:b/>
      <w:i/>
    </w:rPr>
  </w:style>
  <w:style w:type="paragraph" w:styleId="Caption">
    <w:name w:val="caption"/>
    <w:basedOn w:val="Normal"/>
    <w:next w:val="Normal"/>
    <w:qFormat/>
    <w:rsid w:val="00CF7CFC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CF7CFC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CF7CFC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CF7CFC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CF7CFC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CF7CFC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CF7CFC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CF7CFC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CF7CFC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CF7CFC"/>
    <w:pPr>
      <w:numPr>
        <w:ilvl w:val="1"/>
        <w:numId w:val="21"/>
      </w:numPr>
    </w:pPr>
  </w:style>
  <w:style w:type="character" w:customStyle="1" w:styleId="BalloonTextChar">
    <w:name w:val="Balloon Text Char"/>
    <w:rsid w:val="000B26CE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link w:val="BalloonText"/>
    <w:rsid w:val="000B26CE"/>
    <w:rPr>
      <w:rFonts w:ascii="Calibri" w:hAnsi="Calibri"/>
      <w:sz w:val="18"/>
    </w:r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CF7CFC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sub Char,h3 Char,h31 Char,h32 Char,h311 Char,h33 Char,h312 Char,h34 Char"/>
    <w:link w:val="Heading3"/>
    <w:uiPriority w:val="9"/>
    <w:rsid w:val="00CF7CFC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uiPriority w:val="9"/>
    <w:rsid w:val="00CF7CFC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aliases w:val="Para5 Char,5 sub-bullet Char,sb Char,4 Char,Spare1 Char,Level 3 - (i) Char,(i) Char,(i)1 Char,Level 3 - (i)1 Char,i. Char,1.1.1.1.1 Char"/>
    <w:link w:val="Heading5"/>
    <w:rsid w:val="00DF0088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,sd Char,5 Char,Spare2 Char,A. Char,Heading 6 (a) Char,Smart 2000 Char"/>
    <w:link w:val="Heading6"/>
    <w:rsid w:val="00DF0088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"/>
    <w:link w:val="Heading7"/>
    <w:rsid w:val="00DF0088"/>
    <w:rPr>
      <w:rFonts w:ascii="Arial" w:hAnsi="Arial"/>
      <w:szCs w:val="24"/>
    </w:rPr>
  </w:style>
  <w:style w:type="character" w:customStyle="1" w:styleId="Heading8Char">
    <w:name w:val="Heading 8 Char"/>
    <w:aliases w:val="Spare4 Char,(A) Char"/>
    <w:link w:val="Heading8"/>
    <w:rsid w:val="00DF0088"/>
    <w:rPr>
      <w:rFonts w:ascii="Arial" w:hAnsi="Arial"/>
      <w:i/>
      <w:szCs w:val="24"/>
    </w:rPr>
  </w:style>
  <w:style w:type="character" w:customStyle="1" w:styleId="Heading9Char">
    <w:name w:val="Heading 9 Char"/>
    <w:aliases w:val="Spare5 Char,HAPPY Char,I Char"/>
    <w:link w:val="Heading9"/>
    <w:rsid w:val="00DF0088"/>
    <w:rPr>
      <w:rFonts w:ascii="Arial" w:hAnsi="Arial"/>
      <w:i/>
      <w:sz w:val="18"/>
      <w:szCs w:val="24"/>
    </w:rPr>
  </w:style>
  <w:style w:type="character" w:styleId="Hyperlink">
    <w:name w:val="Hyperlink"/>
    <w:uiPriority w:val="99"/>
    <w:unhideWhenUsed/>
    <w:rsid w:val="00CF7CFC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CF7CFC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CF7CFC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CF7CFC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CF7CFC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CF7CFC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CF7CFC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12DB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CF7CFC"/>
    <w:pPr>
      <w:numPr>
        <w:numId w:val="24"/>
      </w:numPr>
    </w:p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h1 Char"/>
    <w:link w:val="Heading1"/>
    <w:locked/>
    <w:rsid w:val="00CF7CFC"/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CF7CFC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CF7CFC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CF7CFC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CF7CF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CF7CFC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CF7CFC"/>
    <w:pPr>
      <w:numPr>
        <w:numId w:val="39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CF7CFC"/>
    <w:pPr>
      <w:spacing w:after="0"/>
      <w:ind w:left="720"/>
    </w:pPr>
  </w:style>
  <w:style w:type="paragraph" w:customStyle="1" w:styleId="Bullet2">
    <w:name w:val="Bullet 2"/>
    <w:basedOn w:val="Normal"/>
    <w:rsid w:val="00CF7CFC"/>
    <w:pPr>
      <w:numPr>
        <w:numId w:val="46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CB631-DCD8-47AF-8CCB-3E4DA5ABF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49</TotalTime>
  <Pages>3</Pages>
  <Words>1054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DID-PM-AIC-ASTDL</vt:lpstr>
    </vt:vector>
  </TitlesOfParts>
  <Manager>CASG</Manager>
  <Company>Defence</Company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DID-PM-AIC-ASTDL</dc:title>
  <dc:subject>ANZ Subcontractor Technical Data List</dc:subject>
  <dc:creator>ASDEFCON SOW Policy</dc:creator>
  <cp:keywords>ASTDL, Technical Data List, TDL, AIC, Subcontractor Technical Data</cp:keywords>
  <cp:lastModifiedBy>DAE2-</cp:lastModifiedBy>
  <cp:revision>21</cp:revision>
  <cp:lastPrinted>2020-10-21T04:10:00Z</cp:lastPrinted>
  <dcterms:created xsi:type="dcterms:W3CDTF">2020-10-21T04:09:00Z</dcterms:created>
  <dcterms:modified xsi:type="dcterms:W3CDTF">2024-08-20T21:30:00Z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BM75378925</vt:lpwstr>
  </property>
  <property fmtid="{D5CDD505-2E9C-101B-9397-08002B2CF9AE}" pid="4" name="Objective-Comment">
    <vt:lpwstr/>
  </property>
  <property fmtid="{D5CDD505-2E9C-101B-9397-08002B2CF9AE}" pid="5" name="Objective-CreationStamp">
    <vt:filetime>2024-05-28T22:40:36Z</vt:filetime>
  </property>
  <property fmtid="{D5CDD505-2E9C-101B-9397-08002B2CF9AE}" pid="6" name="Objective-IsApproved">
    <vt:bool>false</vt:bool>
  </property>
  <property fmtid="{D5CDD505-2E9C-101B-9397-08002B2CF9AE}" pid="7" name="Objective-IsPublished">
    <vt:bool>false</vt:bool>
  </property>
  <property fmtid="{D5CDD505-2E9C-101B-9397-08002B2CF9AE}" pid="8" name="Objective-DatePublished">
    <vt:lpwstr/>
  </property>
  <property fmtid="{D5CDD505-2E9C-101B-9397-08002B2CF9AE}" pid="9" name="Objective-ModificationStamp">
    <vt:filetime>2024-08-20T21:30:09Z</vt:filetime>
  </property>
  <property fmtid="{D5CDD505-2E9C-101B-9397-08002B2CF9AE}" pid="10" name="Objective-Owner">
    <vt:lpwstr>Defence</vt:lpwstr>
  </property>
  <property fmtid="{D5CDD505-2E9C-101B-9397-08002B2CF9AE}" pid="11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2" name="Objective-Parent">
    <vt:lpwstr>05 PM DIDs</vt:lpwstr>
  </property>
  <property fmtid="{D5CDD505-2E9C-101B-9397-08002B2CF9AE}" pid="13" name="Objective-State">
    <vt:lpwstr>Being Edited</vt:lpwstr>
  </property>
  <property fmtid="{D5CDD505-2E9C-101B-9397-08002B2CF9AE}" pid="14" name="Objective-Version">
    <vt:lpwstr>2.1</vt:lpwstr>
  </property>
  <property fmtid="{D5CDD505-2E9C-101B-9397-08002B2CF9AE}" pid="15" name="Objective-VersionNumber">
    <vt:i4>3</vt:i4>
  </property>
  <property fmtid="{D5CDD505-2E9C-101B-9397-08002B2CF9AE}" pid="16" name="Objective-VersionComment">
    <vt:lpwstr/>
  </property>
  <property fmtid="{D5CDD505-2E9C-101B-9397-08002B2CF9AE}" pid="17" name="Objective-FileNumber">
    <vt:lpwstr/>
  </property>
  <property fmtid="{D5CDD505-2E9C-101B-9397-08002B2CF9AE}" pid="18" name="Objective-Classification">
    <vt:lpwstr>Official</vt:lpwstr>
  </property>
  <property fmtid="{D5CDD505-2E9C-101B-9397-08002B2CF9AE}" pid="19" name="Objective-Caveats">
    <vt:lpwstr/>
  </property>
  <property fmtid="{D5CDD505-2E9C-101B-9397-08002B2CF9AE}" pid="20" name="Objective-Document Type [system]">
    <vt:lpwstr/>
  </property>
  <property fmtid="{D5CDD505-2E9C-101B-9397-08002B2CF9AE}" pid="21" name="Classification">
    <vt:lpwstr>OFFICIAL</vt:lpwstr>
  </property>
  <property fmtid="{D5CDD505-2E9C-101B-9397-08002B2CF9AE}" pid="22" name="Header_Left">
    <vt:lpwstr>ASDEFCON (Strategic Materiel)</vt:lpwstr>
  </property>
  <property fmtid="{D5CDD505-2E9C-101B-9397-08002B2CF9AE}" pid="23" name="Header_Right">
    <vt:lpwstr/>
  </property>
  <property fmtid="{D5CDD505-2E9C-101B-9397-08002B2CF9AE}" pid="24" name="Footer_Left">
    <vt:lpwstr>DID-PM-AIC-ASTDL</vt:lpwstr>
  </property>
  <property fmtid="{D5CDD505-2E9C-101B-9397-08002B2CF9AE}" pid="25" name="Objective-Title">
    <vt:lpwstr>DID-PM-AIC-ASTDL-V5.3</vt:lpwstr>
  </property>
  <property fmtid="{D5CDD505-2E9C-101B-9397-08002B2CF9AE}" pid="26" name="Objective-Reason for Security Classification Change [system]">
    <vt:lpwstr/>
  </property>
</Properties>
</file>