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13" w:rsidRPr="00A22D10" w:rsidRDefault="0035572F" w:rsidP="00130A00">
      <w:pPr>
        <w:pStyle w:val="ASDEFCONTitle"/>
      </w:pPr>
      <w:bookmarkStart w:id="0" w:name="_GoBack"/>
      <w:r w:rsidRPr="006123E5">
        <w:t>PROGRESS CERTIFICATE</w:t>
      </w:r>
    </w:p>
    <w:p w:rsidR="0035572F" w:rsidRPr="006123E5" w:rsidRDefault="0035572F" w:rsidP="00130A00">
      <w:pPr>
        <w:pStyle w:val="Table8ptText-ASDEFCON"/>
      </w:pPr>
    </w:p>
    <w:p w:rsidR="0035572F" w:rsidRPr="006123E5" w:rsidRDefault="0035572F" w:rsidP="00130A00">
      <w:pPr>
        <w:pStyle w:val="ASDEFCONOptionSpace"/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19"/>
        <w:gridCol w:w="2658"/>
        <w:gridCol w:w="2694"/>
        <w:gridCol w:w="2551"/>
        <w:gridCol w:w="3260"/>
      </w:tblGrid>
      <w:tr w:rsidR="0035572F" w:rsidRPr="006123E5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72F" w:rsidRPr="006123E5" w:rsidRDefault="0035572F" w:rsidP="00130A00">
            <w:pPr>
              <w:pStyle w:val="Table8ptText-ASDEFCON"/>
            </w:pPr>
            <w:r w:rsidRPr="006123E5">
              <w:t>Progress Certificate</w:t>
            </w:r>
          </w:p>
          <w:p w:rsidR="0035572F" w:rsidRPr="006123E5" w:rsidRDefault="0035572F" w:rsidP="00130A00">
            <w:pPr>
              <w:pStyle w:val="Table8ptText-ASDEFCON"/>
            </w:pPr>
            <w:r w:rsidRPr="006123E5">
              <w:t>Number</w:t>
            </w:r>
          </w:p>
        </w:tc>
        <w:tc>
          <w:tcPr>
            <w:tcW w:w="2658" w:type="dxa"/>
            <w:tcBorders>
              <w:left w:val="nil"/>
            </w:tcBorders>
          </w:tcPr>
          <w:p w:rsidR="0035572F" w:rsidRPr="006123E5" w:rsidRDefault="0035572F" w:rsidP="009B66B2">
            <w:pPr>
              <w:pStyle w:val="Table8ptText-ASDEFCON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72F" w:rsidRPr="006123E5" w:rsidRDefault="0035572F" w:rsidP="00130A00">
            <w:pPr>
              <w:pStyle w:val="Table8ptText-ASDEFCON"/>
            </w:pPr>
            <w:r w:rsidRPr="006123E5">
              <w:t>Contract Reference</w:t>
            </w:r>
          </w:p>
          <w:p w:rsidR="0035572F" w:rsidRPr="006123E5" w:rsidRDefault="0035572F" w:rsidP="009B66B2">
            <w:pPr>
              <w:pStyle w:val="Table8ptText-ASDEFCON"/>
            </w:pPr>
          </w:p>
        </w:tc>
        <w:tc>
          <w:tcPr>
            <w:tcW w:w="2551" w:type="dxa"/>
            <w:tcBorders>
              <w:left w:val="nil"/>
            </w:tcBorders>
          </w:tcPr>
          <w:p w:rsidR="0035572F" w:rsidRPr="006123E5" w:rsidRDefault="0035572F" w:rsidP="009B66B2">
            <w:pPr>
              <w:pStyle w:val="Table8ptText-ASDEFCON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72F" w:rsidRPr="006123E5" w:rsidRDefault="0035572F" w:rsidP="00130A00">
            <w:pPr>
              <w:pStyle w:val="Table8ptText-ASDEFCON"/>
            </w:pPr>
            <w:r w:rsidRPr="006123E5">
              <w:t>From</w:t>
            </w:r>
          </w:p>
          <w:p w:rsidR="0035572F" w:rsidRPr="00FB0397" w:rsidRDefault="00257566" w:rsidP="00130A00">
            <w:pPr>
              <w:pStyle w:val="Table8ptText-ASDEFCON"/>
              <w:rPr>
                <w:b/>
              </w:rPr>
            </w:pPr>
            <w:r w:rsidRPr="00FB0397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Contractor’s name, address and ACN/ARBN and ABN as applicable]"/>
                  </w:textInput>
                </w:ffData>
              </w:fldChar>
            </w:r>
            <w:r w:rsidRPr="00FB0397">
              <w:rPr>
                <w:b/>
              </w:rPr>
              <w:instrText xml:space="preserve"> FORMTEXT </w:instrText>
            </w:r>
            <w:r w:rsidRPr="00FB0397">
              <w:rPr>
                <w:b/>
              </w:rPr>
            </w:r>
            <w:r w:rsidRPr="00FB0397">
              <w:rPr>
                <w:b/>
              </w:rPr>
              <w:fldChar w:fldCharType="separate"/>
            </w:r>
            <w:r w:rsidR="000A4B98">
              <w:rPr>
                <w:b/>
                <w:noProof/>
              </w:rPr>
              <w:t>[Contractor’s name, address and ACN/ARBN and ABN as applicable]</w:t>
            </w:r>
            <w:r w:rsidRPr="00FB0397">
              <w:rPr>
                <w:b/>
              </w:rPr>
              <w:fldChar w:fldCharType="end"/>
            </w:r>
          </w:p>
        </w:tc>
      </w:tr>
    </w:tbl>
    <w:p w:rsidR="0035572F" w:rsidRPr="006123E5" w:rsidRDefault="0035572F" w:rsidP="00130A00">
      <w:pPr>
        <w:pStyle w:val="ASDEFCONOptionSpace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19"/>
      </w:tblGrid>
      <w:tr w:rsidR="0035572F" w:rsidRPr="006123E5">
        <w:tc>
          <w:tcPr>
            <w:tcW w:w="3119" w:type="dxa"/>
          </w:tcPr>
          <w:p w:rsidR="0035572F" w:rsidRPr="006123E5" w:rsidRDefault="0035572F" w:rsidP="00130A00">
            <w:pPr>
              <w:pStyle w:val="Table8ptText-ASDEFCON"/>
            </w:pPr>
            <w:r w:rsidRPr="006123E5">
              <w:t>To</w:t>
            </w:r>
          </w:p>
          <w:p w:rsidR="0035572F" w:rsidRPr="00FB0397" w:rsidRDefault="00257566" w:rsidP="00130A00">
            <w:pPr>
              <w:pStyle w:val="Table8ptText-ASDEFCON"/>
            </w:pPr>
            <w:r w:rsidRPr="00FB0397">
              <w:fldChar w:fldCharType="begin">
                <w:ffData>
                  <w:name w:val="Text2"/>
                  <w:enabled/>
                  <w:calcOnExit w:val="0"/>
                  <w:textInput>
                    <w:default w:val="[Commonwealth Representative]"/>
                  </w:textInput>
                </w:ffData>
              </w:fldChar>
            </w:r>
            <w:r w:rsidRPr="00FB0397">
              <w:instrText xml:space="preserve"> FORMTEXT </w:instrText>
            </w:r>
            <w:r w:rsidRPr="00FB0397">
              <w:fldChar w:fldCharType="separate"/>
            </w:r>
            <w:r w:rsidR="000A4B98">
              <w:rPr>
                <w:noProof/>
              </w:rPr>
              <w:t>[Commonwealth Representative]</w:t>
            </w:r>
            <w:r w:rsidRPr="00FB0397">
              <w:fldChar w:fldCharType="end"/>
            </w:r>
          </w:p>
          <w:p w:rsidR="0035572F" w:rsidRPr="006123E5" w:rsidRDefault="0035572F" w:rsidP="009B66B2">
            <w:pPr>
              <w:pStyle w:val="Table8ptText-ASDEFCON"/>
            </w:pPr>
          </w:p>
        </w:tc>
      </w:tr>
    </w:tbl>
    <w:p w:rsidR="0035572F" w:rsidRPr="006123E5" w:rsidRDefault="0035572F" w:rsidP="00130A00">
      <w:pPr>
        <w:pStyle w:val="ASDEFCONOptionSpace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282"/>
      </w:tblGrid>
      <w:tr w:rsidR="0035572F" w:rsidRPr="006123E5">
        <w:tc>
          <w:tcPr>
            <w:tcW w:w="14282" w:type="dxa"/>
          </w:tcPr>
          <w:p w:rsidR="0035572F" w:rsidRPr="006123E5" w:rsidRDefault="0035572F" w:rsidP="00130A00">
            <w:pPr>
              <w:pStyle w:val="Table8ptText-ASDEFCON"/>
            </w:pPr>
            <w:r w:rsidRPr="006123E5">
              <w:t>Description of Milestone</w:t>
            </w:r>
          </w:p>
          <w:p w:rsidR="0035572F" w:rsidRPr="006123E5" w:rsidRDefault="0035572F" w:rsidP="009B66B2">
            <w:pPr>
              <w:pStyle w:val="Table8ptText-ASDEFCON"/>
            </w:pPr>
          </w:p>
        </w:tc>
      </w:tr>
    </w:tbl>
    <w:p w:rsidR="0035572F" w:rsidRPr="006123E5" w:rsidRDefault="0035572F" w:rsidP="00130A00">
      <w:pPr>
        <w:pStyle w:val="ASDEFCONOptionSpace"/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628"/>
        <w:gridCol w:w="709"/>
        <w:gridCol w:w="6945"/>
      </w:tblGrid>
      <w:tr w:rsidR="0035572F" w:rsidRPr="006123E5">
        <w:tc>
          <w:tcPr>
            <w:tcW w:w="6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72F" w:rsidRPr="006123E5" w:rsidRDefault="0035572F" w:rsidP="00130A00">
            <w:pPr>
              <w:pStyle w:val="Table8ptText-ASDEFCON"/>
            </w:pPr>
            <w:r w:rsidRPr="006123E5">
              <w:t>Contractor’s Certification:</w:t>
            </w:r>
          </w:p>
          <w:p w:rsidR="0035572F" w:rsidRPr="006123E5" w:rsidRDefault="0035572F" w:rsidP="00130A00">
            <w:pPr>
              <w:pStyle w:val="Table8ptText-ASDEFCON"/>
            </w:pPr>
          </w:p>
          <w:p w:rsidR="0035572F" w:rsidRPr="006123E5" w:rsidRDefault="0035572F" w:rsidP="00794D87">
            <w:pPr>
              <w:pStyle w:val="Table8ptText-ASDEFCON"/>
            </w:pPr>
            <w:r w:rsidRPr="006123E5">
              <w:t xml:space="preserve">The Contractor seeks Progress Certification from the Commonwealth of Australia for the Milestone detailed on this Certificate. </w:t>
            </w:r>
            <w:r w:rsidR="00EF505D">
              <w:t>The Contractor</w:t>
            </w:r>
            <w:r w:rsidRPr="006123E5">
              <w:t xml:space="preserve"> certifie</w:t>
            </w:r>
            <w:r w:rsidR="00EF505D">
              <w:t>s</w:t>
            </w:r>
            <w:r w:rsidRPr="006123E5">
              <w:t xml:space="preserve"> that the Milestone has been achieved in accordance with the Contract No </w:t>
            </w:r>
            <w:r w:rsidR="00794D87">
              <w:rPr>
                <w:b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(.....(Amendment No (where applicable).....) "/>
                  </w:textInput>
                </w:ffData>
              </w:fldChar>
            </w:r>
            <w:r w:rsidR="00794D87">
              <w:rPr>
                <w:b/>
              </w:rPr>
              <w:instrText xml:space="preserve"> FORMTEXT </w:instrText>
            </w:r>
            <w:r w:rsidR="00794D87">
              <w:rPr>
                <w:b/>
              </w:rPr>
            </w:r>
            <w:r w:rsidR="00794D87">
              <w:rPr>
                <w:b/>
              </w:rPr>
              <w:fldChar w:fldCharType="separate"/>
            </w:r>
            <w:r w:rsidR="000A4B98">
              <w:rPr>
                <w:b/>
                <w:noProof/>
              </w:rPr>
              <w:t xml:space="preserve">(.....(Amendment No (where applicable).....) </w:t>
            </w:r>
            <w:r w:rsidR="00794D87">
              <w:rPr>
                <w:b/>
              </w:rPr>
              <w:fldChar w:fldCharType="end"/>
            </w:r>
            <w:r w:rsidRPr="006123E5">
              <w:t xml:space="preserve">except where stated in </w:t>
            </w:r>
            <w:r w:rsidR="00574413">
              <w:t xml:space="preserve">this Certificate or an </w:t>
            </w:r>
            <w:r w:rsidRPr="006123E5">
              <w:t>attachment to this Certificate (if any).</w:t>
            </w:r>
          </w:p>
        </w:tc>
        <w:tc>
          <w:tcPr>
            <w:tcW w:w="709" w:type="dxa"/>
            <w:tcBorders>
              <w:left w:val="nil"/>
            </w:tcBorders>
          </w:tcPr>
          <w:p w:rsidR="0035572F" w:rsidRPr="006123E5" w:rsidRDefault="0035572F" w:rsidP="009B66B2">
            <w:pPr>
              <w:pStyle w:val="Table8ptText-ASDEFCON"/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72F" w:rsidRPr="006123E5" w:rsidRDefault="00574413" w:rsidP="00130A00">
            <w:pPr>
              <w:pStyle w:val="Table8ptText-ASDEFCON"/>
            </w:pPr>
            <w:r>
              <w:t>Issue of Certificate</w:t>
            </w:r>
            <w:r w:rsidR="0035572F" w:rsidRPr="006123E5">
              <w:t>:</w:t>
            </w:r>
          </w:p>
          <w:p w:rsidR="0035572F" w:rsidRPr="006123E5" w:rsidRDefault="0035572F" w:rsidP="00130A00">
            <w:pPr>
              <w:pStyle w:val="Table8ptText-ASDEFCON"/>
            </w:pPr>
          </w:p>
          <w:p w:rsidR="0035572F" w:rsidRPr="006123E5" w:rsidRDefault="0035572F" w:rsidP="00130A00">
            <w:pPr>
              <w:pStyle w:val="Table8ptText-ASDEFCON"/>
            </w:pPr>
            <w:r w:rsidRPr="006123E5">
              <w:t xml:space="preserve">The Commonwealth of Australia </w:t>
            </w:r>
            <w:r w:rsidR="00574413">
              <w:t xml:space="preserve">issues this Certificate and </w:t>
            </w:r>
            <w:r w:rsidRPr="006123E5">
              <w:t>acknowledges that the Milestone detailed on this Certificate has been achieved by the Contractor to the satisfaction of the Commonwealth Representative in accordance with the Contract</w:t>
            </w:r>
            <w:r w:rsidR="00574413">
              <w:t xml:space="preserve">, </w:t>
            </w:r>
            <w:r w:rsidR="00574413" w:rsidRPr="003C1F29">
              <w:t xml:space="preserve">except to the extent that </w:t>
            </w:r>
            <w:r w:rsidR="00574413">
              <w:t>any Defect or missing Milestone Supplies are identified in this Certificate or an attachment to this Certificate</w:t>
            </w:r>
            <w:r w:rsidRPr="006123E5">
              <w:t>.</w:t>
            </w:r>
          </w:p>
        </w:tc>
      </w:tr>
    </w:tbl>
    <w:p w:rsidR="0035572F" w:rsidRPr="006123E5" w:rsidRDefault="0035572F" w:rsidP="00130A00">
      <w:pPr>
        <w:pStyle w:val="ASDEFCONOptionSpace"/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628"/>
        <w:gridCol w:w="709"/>
        <w:gridCol w:w="6945"/>
      </w:tblGrid>
      <w:tr w:rsidR="0035572F" w:rsidRPr="006123E5">
        <w:tc>
          <w:tcPr>
            <w:tcW w:w="6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72F" w:rsidRPr="006123E5" w:rsidRDefault="0035572F" w:rsidP="00130A00">
            <w:pPr>
              <w:pStyle w:val="Table8ptText-ASDEFCON"/>
            </w:pPr>
            <w:r w:rsidRPr="006123E5">
              <w:t>Authorised Signatory</w:t>
            </w:r>
            <w:r w:rsidRPr="006123E5">
              <w:tab/>
              <w:t>Printed Name</w:t>
            </w:r>
          </w:p>
          <w:p w:rsidR="0035572F" w:rsidRPr="006123E5" w:rsidRDefault="0035572F" w:rsidP="00130A00">
            <w:pPr>
              <w:pStyle w:val="Table8ptText-ASDEFCON"/>
            </w:pPr>
          </w:p>
          <w:p w:rsidR="0035572F" w:rsidRPr="006123E5" w:rsidRDefault="0035572F" w:rsidP="00130A00">
            <w:pPr>
              <w:pStyle w:val="Table8ptText-ASDEFCON"/>
            </w:pPr>
            <w:r w:rsidRPr="006123E5">
              <w:t>Position Held</w:t>
            </w:r>
            <w:r w:rsidRPr="006123E5">
              <w:tab/>
            </w:r>
            <w:r w:rsidR="006123E5">
              <w:tab/>
            </w:r>
            <w:r w:rsidRPr="006123E5">
              <w:t>Date</w:t>
            </w:r>
          </w:p>
        </w:tc>
        <w:tc>
          <w:tcPr>
            <w:tcW w:w="709" w:type="dxa"/>
            <w:tcBorders>
              <w:left w:val="nil"/>
            </w:tcBorders>
          </w:tcPr>
          <w:p w:rsidR="0035572F" w:rsidRPr="006123E5" w:rsidRDefault="0035572F" w:rsidP="009B66B2">
            <w:pPr>
              <w:pStyle w:val="Table8ptText-ASDEFCON"/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72F" w:rsidRPr="006123E5" w:rsidRDefault="0035572F" w:rsidP="00130A00">
            <w:pPr>
              <w:pStyle w:val="Table8ptText-ASDEFCON"/>
            </w:pPr>
            <w:r w:rsidRPr="006123E5">
              <w:t>Authorised Signatory</w:t>
            </w:r>
            <w:r w:rsidRPr="006123E5">
              <w:tab/>
              <w:t>Printed Name</w:t>
            </w:r>
          </w:p>
          <w:p w:rsidR="0035572F" w:rsidRPr="006123E5" w:rsidRDefault="0035572F" w:rsidP="00130A00">
            <w:pPr>
              <w:pStyle w:val="Table8ptText-ASDEFCON"/>
            </w:pPr>
          </w:p>
          <w:p w:rsidR="0035572F" w:rsidRPr="006123E5" w:rsidRDefault="0035572F" w:rsidP="00130A00">
            <w:pPr>
              <w:pStyle w:val="Table8ptText-ASDEFCON"/>
            </w:pPr>
            <w:r w:rsidRPr="006123E5">
              <w:t>Position Held</w:t>
            </w:r>
            <w:r w:rsidRPr="006123E5">
              <w:tab/>
            </w:r>
            <w:r w:rsidR="006123E5">
              <w:tab/>
            </w:r>
            <w:r w:rsidRPr="006123E5">
              <w:t>Date</w:t>
            </w:r>
          </w:p>
        </w:tc>
      </w:tr>
      <w:bookmarkEnd w:id="0"/>
    </w:tbl>
    <w:p w:rsidR="0035572F" w:rsidRPr="006123E5" w:rsidRDefault="0035572F" w:rsidP="00130A00">
      <w:pPr>
        <w:pStyle w:val="ASDEFCONNormal"/>
      </w:pPr>
    </w:p>
    <w:sectPr w:rsidR="0035572F" w:rsidRPr="006123E5" w:rsidSect="009D219E">
      <w:headerReference w:type="default" r:id="rId7"/>
      <w:footerReference w:type="default" r:id="rId8"/>
      <w:pgSz w:w="16840" w:h="11907" w:orient="landscape" w:code="9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02" w:rsidRDefault="00773202">
      <w:r>
        <w:separator/>
      </w:r>
    </w:p>
  </w:endnote>
  <w:endnote w:type="continuationSeparator" w:id="0">
    <w:p w:rsidR="00773202" w:rsidRDefault="00773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257566" w:rsidRPr="004D3482" w:rsidTr="00A61746">
      <w:tc>
        <w:tcPr>
          <w:tcW w:w="2500" w:type="pct"/>
        </w:tcPr>
        <w:p w:rsidR="00257566" w:rsidRDefault="00335CF3" w:rsidP="00A61746">
          <w:pPr>
            <w:pStyle w:val="ASDEFCONHeaderFooterLeft"/>
          </w:pPr>
          <w:fldSimple w:instr=" DOCPROPERTY Footer_Left ">
            <w:r>
              <w:t>Annex to Draft Conditions of Contract</w:t>
            </w:r>
          </w:fldSimple>
          <w:r w:rsidR="00257566">
            <w:t xml:space="preserve"> (</w:t>
          </w:r>
          <w:fldSimple w:instr=" DOCPROPERTY Version ">
            <w:r>
              <w:t>V5.3</w:t>
            </w:r>
          </w:fldSimple>
          <w:r w:rsidR="00257566">
            <w:t>)</w:t>
          </w:r>
        </w:p>
      </w:tc>
      <w:tc>
        <w:tcPr>
          <w:tcW w:w="2500" w:type="pct"/>
        </w:tcPr>
        <w:p w:rsidR="00257566" w:rsidRPr="004D3482" w:rsidRDefault="00615150" w:rsidP="00F45E52">
          <w:pPr>
            <w:pStyle w:val="ASDEFCONHeaderFooterRight"/>
          </w:pPr>
          <w:r>
            <w:t>I-</w:t>
          </w:r>
          <w:r w:rsidR="00F45E52">
            <w:t>C</w:t>
          </w:r>
          <w:r w:rsidR="00257566" w:rsidRPr="004D3482">
            <w:rPr>
              <w:rStyle w:val="PageNumber"/>
              <w:szCs w:val="18"/>
            </w:rPr>
            <w:fldChar w:fldCharType="begin"/>
          </w:r>
          <w:r w:rsidR="00257566" w:rsidRPr="004D3482">
            <w:rPr>
              <w:rStyle w:val="PageNumber"/>
              <w:szCs w:val="18"/>
            </w:rPr>
            <w:instrText xml:space="preserve"> PAGE </w:instrText>
          </w:r>
          <w:r w:rsidR="00257566" w:rsidRPr="004D3482">
            <w:rPr>
              <w:rStyle w:val="PageNumber"/>
              <w:szCs w:val="18"/>
            </w:rPr>
            <w:fldChar w:fldCharType="separate"/>
          </w:r>
          <w:r w:rsidR="000A4B98">
            <w:rPr>
              <w:rStyle w:val="PageNumber"/>
              <w:noProof/>
              <w:szCs w:val="18"/>
            </w:rPr>
            <w:t>1</w:t>
          </w:r>
          <w:r w:rsidR="00257566" w:rsidRPr="004D3482">
            <w:rPr>
              <w:rStyle w:val="PageNumber"/>
              <w:szCs w:val="18"/>
            </w:rPr>
            <w:fldChar w:fldCharType="end"/>
          </w:r>
        </w:p>
      </w:tc>
    </w:tr>
    <w:tr w:rsidR="00257566" w:rsidTr="00A61746">
      <w:tc>
        <w:tcPr>
          <w:tcW w:w="5000" w:type="pct"/>
          <w:gridSpan w:val="2"/>
        </w:tcPr>
        <w:p w:rsidR="00257566" w:rsidRDefault="00335CF3" w:rsidP="00A61746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257566" w:rsidRPr="00A61746" w:rsidRDefault="00257566" w:rsidP="00A61746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02" w:rsidRDefault="00773202">
      <w:r>
        <w:separator/>
      </w:r>
    </w:p>
  </w:footnote>
  <w:footnote w:type="continuationSeparator" w:id="0">
    <w:p w:rsidR="00773202" w:rsidRDefault="00773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257566" w:rsidTr="00A61746">
      <w:tc>
        <w:tcPr>
          <w:tcW w:w="5000" w:type="pct"/>
          <w:gridSpan w:val="2"/>
        </w:tcPr>
        <w:p w:rsidR="00257566" w:rsidRDefault="00335CF3" w:rsidP="00A61746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257566" w:rsidTr="00A61746">
      <w:tc>
        <w:tcPr>
          <w:tcW w:w="2500" w:type="pct"/>
        </w:tcPr>
        <w:p w:rsidR="00257566" w:rsidRDefault="00335CF3" w:rsidP="00A61746">
          <w:pPr>
            <w:pStyle w:val="ASDEFCONHeaderFooterLeft"/>
          </w:pPr>
          <w:fldSimple w:instr=" DOCPROPERTY Header_Left ">
            <w:r>
              <w:t>ASDEFCON (Strategic Materiel)</w:t>
            </w:r>
          </w:fldSimple>
        </w:p>
      </w:tc>
      <w:tc>
        <w:tcPr>
          <w:tcW w:w="2500" w:type="pct"/>
        </w:tcPr>
        <w:p w:rsidR="00257566" w:rsidRDefault="00335CF3" w:rsidP="00A61746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:rsidR="00257566" w:rsidRPr="00101E9A" w:rsidRDefault="00257566" w:rsidP="00111A87">
    <w:pPr>
      <w:pStyle w:val="ASDEFCONTitle"/>
    </w:pPr>
    <w:r w:rsidRPr="00101E9A">
      <w:t xml:space="preserve">ANNEX </w:t>
    </w:r>
    <w:r w:rsidR="00CE7BAC">
      <w:t>C</w:t>
    </w:r>
    <w:r w:rsidRPr="00101E9A">
      <w:t xml:space="preserve"> TO 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18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9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21"/>
  </w:num>
  <w:num w:numId="9">
    <w:abstractNumId w:val="13"/>
  </w:num>
  <w:num w:numId="10">
    <w:abstractNumId w:val="24"/>
  </w:num>
  <w:num w:numId="11">
    <w:abstractNumId w:val="8"/>
  </w:num>
  <w:num w:numId="12">
    <w:abstractNumId w:val="10"/>
  </w:num>
  <w:num w:numId="13">
    <w:abstractNumId w:val="25"/>
  </w:num>
  <w:num w:numId="14">
    <w:abstractNumId w:val="5"/>
  </w:num>
  <w:num w:numId="15">
    <w:abstractNumId w:val="4"/>
  </w:num>
  <w:num w:numId="16">
    <w:abstractNumId w:val="1"/>
  </w:num>
  <w:num w:numId="17">
    <w:abstractNumId w:val="2"/>
  </w:num>
  <w:num w:numId="18">
    <w:abstractNumId w:val="9"/>
  </w:num>
  <w:num w:numId="19">
    <w:abstractNumId w:val="0"/>
  </w:num>
  <w:num w:numId="20">
    <w:abstractNumId w:val="15"/>
  </w:num>
  <w:num w:numId="21">
    <w:abstractNumId w:val="22"/>
  </w:num>
  <w:num w:numId="22">
    <w:abstractNumId w:val="20"/>
  </w:num>
  <w:num w:numId="23">
    <w:abstractNumId w:val="11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9"/>
    <w:rsid w:val="00017A51"/>
    <w:rsid w:val="000260C5"/>
    <w:rsid w:val="00045DBC"/>
    <w:rsid w:val="000A4B98"/>
    <w:rsid w:val="000D3127"/>
    <w:rsid w:val="00101E9A"/>
    <w:rsid w:val="00111A87"/>
    <w:rsid w:val="00130A00"/>
    <w:rsid w:val="00151084"/>
    <w:rsid w:val="00163745"/>
    <w:rsid w:val="00192F84"/>
    <w:rsid w:val="00195159"/>
    <w:rsid w:val="001A298E"/>
    <w:rsid w:val="001B5397"/>
    <w:rsid w:val="001B759B"/>
    <w:rsid w:val="001F286B"/>
    <w:rsid w:val="00205D4C"/>
    <w:rsid w:val="00215478"/>
    <w:rsid w:val="0021600C"/>
    <w:rsid w:val="00223B33"/>
    <w:rsid w:val="00231803"/>
    <w:rsid w:val="002417DD"/>
    <w:rsid w:val="00252DBE"/>
    <w:rsid w:val="00257566"/>
    <w:rsid w:val="002C014E"/>
    <w:rsid w:val="002D5D5C"/>
    <w:rsid w:val="00307FBA"/>
    <w:rsid w:val="00312880"/>
    <w:rsid w:val="0032278D"/>
    <w:rsid w:val="00333469"/>
    <w:rsid w:val="00335CF3"/>
    <w:rsid w:val="0035572F"/>
    <w:rsid w:val="00372C81"/>
    <w:rsid w:val="003D15AF"/>
    <w:rsid w:val="003F24E4"/>
    <w:rsid w:val="00484595"/>
    <w:rsid w:val="00484944"/>
    <w:rsid w:val="004C312F"/>
    <w:rsid w:val="004D3482"/>
    <w:rsid w:val="004D4889"/>
    <w:rsid w:val="004E32D3"/>
    <w:rsid w:val="00543BF9"/>
    <w:rsid w:val="005550DF"/>
    <w:rsid w:val="00574413"/>
    <w:rsid w:val="005965EF"/>
    <w:rsid w:val="005D70CA"/>
    <w:rsid w:val="006123E5"/>
    <w:rsid w:val="006147E1"/>
    <w:rsid w:val="00615150"/>
    <w:rsid w:val="0062052A"/>
    <w:rsid w:val="00634AAF"/>
    <w:rsid w:val="006847C6"/>
    <w:rsid w:val="006C1F4D"/>
    <w:rsid w:val="006D23A3"/>
    <w:rsid w:val="006F7548"/>
    <w:rsid w:val="00722910"/>
    <w:rsid w:val="00771B5B"/>
    <w:rsid w:val="00773202"/>
    <w:rsid w:val="00794D87"/>
    <w:rsid w:val="007B63AD"/>
    <w:rsid w:val="007C5A4F"/>
    <w:rsid w:val="007D1B98"/>
    <w:rsid w:val="00804394"/>
    <w:rsid w:val="008446D8"/>
    <w:rsid w:val="008F667D"/>
    <w:rsid w:val="00900139"/>
    <w:rsid w:val="00925007"/>
    <w:rsid w:val="00984966"/>
    <w:rsid w:val="00995A05"/>
    <w:rsid w:val="009B66B2"/>
    <w:rsid w:val="009D219E"/>
    <w:rsid w:val="009D48EC"/>
    <w:rsid w:val="00A03097"/>
    <w:rsid w:val="00A31A41"/>
    <w:rsid w:val="00A4264E"/>
    <w:rsid w:val="00A44580"/>
    <w:rsid w:val="00A61746"/>
    <w:rsid w:val="00AA1F53"/>
    <w:rsid w:val="00B12F41"/>
    <w:rsid w:val="00B32889"/>
    <w:rsid w:val="00B51670"/>
    <w:rsid w:val="00BC1E6C"/>
    <w:rsid w:val="00BE0AA4"/>
    <w:rsid w:val="00C57770"/>
    <w:rsid w:val="00C906FE"/>
    <w:rsid w:val="00C93CD9"/>
    <w:rsid w:val="00C9518B"/>
    <w:rsid w:val="00CD632F"/>
    <w:rsid w:val="00CE7BAC"/>
    <w:rsid w:val="00CF584C"/>
    <w:rsid w:val="00D37770"/>
    <w:rsid w:val="00DB6570"/>
    <w:rsid w:val="00DD3A85"/>
    <w:rsid w:val="00E2190B"/>
    <w:rsid w:val="00E358E4"/>
    <w:rsid w:val="00E41098"/>
    <w:rsid w:val="00E450A9"/>
    <w:rsid w:val="00E6042A"/>
    <w:rsid w:val="00EA1E9A"/>
    <w:rsid w:val="00EF505D"/>
    <w:rsid w:val="00F20AE2"/>
    <w:rsid w:val="00F4083E"/>
    <w:rsid w:val="00F45E52"/>
    <w:rsid w:val="00F63831"/>
    <w:rsid w:val="00F844AA"/>
    <w:rsid w:val="00FB0397"/>
    <w:rsid w:val="00FB5235"/>
    <w:rsid w:val="00FE4A11"/>
    <w:rsid w:val="00FF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15F060-019C-4A7F-AB43-9696427F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B9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0A4B98"/>
    <w:pPr>
      <w:keepNext/>
      <w:numPr>
        <w:numId w:val="2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A4B9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6042A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6042A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5965EF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5965E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5965E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5965E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5965EF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0A4B9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A4B98"/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table" w:styleId="TableGrid">
    <w:name w:val="Table Grid"/>
    <w:basedOn w:val="TableNormal"/>
    <w:rsid w:val="005965EF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0A4B98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0A4B98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5965EF"/>
  </w:style>
  <w:style w:type="paragraph" w:customStyle="1" w:styleId="Style1">
    <w:name w:val="Style1"/>
    <w:basedOn w:val="Heading4"/>
    <w:rsid w:val="005965EF"/>
    <w:rPr>
      <w:b w:val="0"/>
    </w:rPr>
  </w:style>
  <w:style w:type="paragraph" w:styleId="EndnoteText">
    <w:name w:val="endnote text"/>
    <w:basedOn w:val="Normal"/>
    <w:semiHidden/>
    <w:rsid w:val="005965EF"/>
    <w:rPr>
      <w:szCs w:val="20"/>
    </w:rPr>
  </w:style>
  <w:style w:type="paragraph" w:styleId="Header">
    <w:name w:val="header"/>
    <w:basedOn w:val="Normal"/>
    <w:rsid w:val="00A31A4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31A4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autoRedefine/>
    <w:rsid w:val="006147E1"/>
    <w:rPr>
      <w:rFonts w:ascii="Times New Roman" w:hAnsi="Times New Roman"/>
      <w:sz w:val="24"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0A4B98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A4B9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A4B9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A4B98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0A4B98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A4B98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0A4B98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0A4B98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0A4B9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A4B9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A4B9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0A4B9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A4B98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A4B98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A4B9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A4B98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A4B98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0A4B9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A4B9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A4B9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A4B9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A4B9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A4B9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A4B9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A4B9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A4B9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A4B9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A4B9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A4B9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A4B9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A4B9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A4B98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A4B98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A4B98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A4B98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A4B98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A4B98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A4B98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A4B98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A4B98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A4B98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A4B9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A4B9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A4B9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A4B9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A4B9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A4B9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A4B9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A4B9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A4B9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A4B98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A4B9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A4B9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A4B98"/>
    <w:rPr>
      <w:szCs w:val="20"/>
    </w:rPr>
  </w:style>
  <w:style w:type="paragraph" w:customStyle="1" w:styleId="ASDEFCONTextBlock">
    <w:name w:val="ASDEFCON TextBlock"/>
    <w:basedOn w:val="ASDEFCONNormal"/>
    <w:qFormat/>
    <w:rsid w:val="000A4B9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A4B98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0A4B9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A4B9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A4B98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A4B98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A4B9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A4B9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A4B9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A4B9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A4B98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0A4B98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A4B98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A4B9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A4B9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A4B98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0A4B98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A4B98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A4B9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A4B9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A4B9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A4B98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A4B98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A4B9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A4B9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A4B98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A4B98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0A4B9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A4B98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A4B98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0A4B98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A4B98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A4B9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A4B9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A4B9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A4B9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A4B9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A4B9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A4B9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A4B98"/>
    <w:pPr>
      <w:numPr>
        <w:ilvl w:val="1"/>
        <w:numId w:val="21"/>
      </w:numPr>
    </w:pPr>
  </w:style>
  <w:style w:type="paragraph" w:styleId="TOC3">
    <w:name w:val="toc 3"/>
    <w:basedOn w:val="Normal"/>
    <w:next w:val="Normal"/>
    <w:autoRedefine/>
    <w:rsid w:val="000A4B98"/>
    <w:pPr>
      <w:spacing w:after="100"/>
      <w:ind w:left="400"/>
    </w:pPr>
  </w:style>
  <w:style w:type="character" w:styleId="PageNumber">
    <w:name w:val="page number"/>
    <w:basedOn w:val="DefaultParagraphFont"/>
    <w:rsid w:val="00FF4ECC"/>
  </w:style>
  <w:style w:type="character" w:styleId="CommentReference">
    <w:name w:val="annotation reference"/>
    <w:semiHidden/>
    <w:rsid w:val="006847C6"/>
    <w:rPr>
      <w:sz w:val="16"/>
      <w:szCs w:val="16"/>
    </w:rPr>
  </w:style>
  <w:style w:type="paragraph" w:styleId="CommentText">
    <w:name w:val="annotation text"/>
    <w:basedOn w:val="Normal"/>
    <w:semiHidden/>
    <w:rsid w:val="006847C6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847C6"/>
    <w:rPr>
      <w:b/>
      <w:bCs/>
    </w:rPr>
  </w:style>
  <w:style w:type="character" w:customStyle="1" w:styleId="Heading2Char">
    <w:name w:val="Heading 2 Char"/>
    <w:link w:val="Heading2"/>
    <w:rsid w:val="000A4B98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0A4B98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0A4B9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A4B9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A4B9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A4B9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A4B9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A4B98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0A4B98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657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Heading1Char">
    <w:name w:val="Heading 1 Char"/>
    <w:link w:val="Heading1"/>
    <w:rsid w:val="00E6042A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6042A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6042A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6042A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E6042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E6042A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E6042A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E6042A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E6042A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E6042A"/>
    <w:pPr>
      <w:spacing w:after="0"/>
      <w:ind w:left="720"/>
    </w:pPr>
  </w:style>
  <w:style w:type="paragraph" w:customStyle="1" w:styleId="Bullet2">
    <w:name w:val="Bullet 2"/>
    <w:basedOn w:val="Normal"/>
    <w:rsid w:val="00E6042A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28</TotalTime>
  <Pages>1</Pages>
  <Words>148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>Laursen, Christian MR</cp:lastModifiedBy>
  <cp:revision>19</cp:revision>
  <cp:lastPrinted>2018-03-27T08:46:00Z</cp:lastPrinted>
  <dcterms:created xsi:type="dcterms:W3CDTF">2018-04-03T03:51:00Z</dcterms:created>
  <dcterms:modified xsi:type="dcterms:W3CDTF">2024-08-21T00:54:00Z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BM53481297</vt:lpwstr>
  </property>
  <property fmtid="{D5CDD505-2E9C-101B-9397-08002B2CF9AE}" pid="4" name="Objective-Title">
    <vt:lpwstr>026_SMV5.3_CATTI_ANNC_Progress Certificate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2022-11-17T03:21:53Z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2024-08-08T06:06:12Z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Annex to Draft Conditions of Contract</vt:lpwstr>
  </property>
  <property fmtid="{D5CDD505-2E9C-101B-9397-08002B2CF9AE}" pid="26" name="Objective-Reason for Security Classification Change [system]">
    <vt:lpwstr/>
  </property>
</Properties>
</file>