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D8516" w14:textId="280865B8" w:rsidR="0001323E" w:rsidRPr="001C333C" w:rsidRDefault="004C5CAF" w:rsidP="00C259AF">
      <w:pPr>
        <w:pStyle w:val="ASDEFCONTitle"/>
      </w:pPr>
      <w:bookmarkStart w:id="0" w:name="_GoBack"/>
      <w:bookmarkEnd w:id="0"/>
      <w:r>
        <w:t xml:space="preserve">MILESTONE SCHEDULE AND </w:t>
      </w:r>
      <w:r w:rsidR="00DB4AE1">
        <w:t xml:space="preserve">CRITERIA </w:t>
      </w:r>
      <w:r w:rsidR="00DB4AE1" w:rsidRPr="001C333C">
        <w:t>(</w:t>
      </w:r>
      <w:r>
        <w:t>OPTIONAL</w:t>
      </w:r>
      <w:r w:rsidR="0001323E" w:rsidRPr="001C333C">
        <w:t>)</w:t>
      </w:r>
    </w:p>
    <w:p w14:paraId="518778C7" w14:textId="70664987" w:rsidR="0001323E" w:rsidRDefault="0001323E" w:rsidP="00C259AF">
      <w:pPr>
        <w:pStyle w:val="NoteToTenderers-ASDEFCON"/>
      </w:pPr>
      <w:r w:rsidRPr="001C333C">
        <w:t xml:space="preserve">Note to tenderers:  </w:t>
      </w:r>
      <w:r w:rsidR="004C5CAF">
        <w:t>Annex B</w:t>
      </w:r>
      <w:r w:rsidRPr="001C333C">
        <w:t xml:space="preserve"> will consist of an amalgamation of TDR </w:t>
      </w:r>
      <w:r w:rsidR="000E3D10">
        <w:t>D-2</w:t>
      </w:r>
      <w:r w:rsidRPr="001C333C">
        <w:t xml:space="preserve">, this </w:t>
      </w:r>
      <w:r w:rsidR="00EB050D">
        <w:t xml:space="preserve">draft </w:t>
      </w:r>
      <w:r w:rsidR="00750DE4">
        <w:t>A</w:t>
      </w:r>
      <w:r w:rsidRPr="001C333C">
        <w:t>ttachment</w:t>
      </w:r>
      <w:r w:rsidR="00877D00">
        <w:t>,</w:t>
      </w:r>
      <w:r w:rsidRPr="001C333C">
        <w:t xml:space="preserve"> the successful tenderer’s response</w:t>
      </w:r>
      <w:r w:rsidR="00877D00">
        <w:t xml:space="preserve"> and any negotiated adjustments</w:t>
      </w:r>
      <w:r w:rsidRPr="001C333C">
        <w:t>.</w:t>
      </w:r>
    </w:p>
    <w:p w14:paraId="4FD4726A" w14:textId="1F1FA353" w:rsidR="000E3D10" w:rsidRPr="001C333C" w:rsidRDefault="000E3D10" w:rsidP="000E3D10">
      <w:pPr>
        <w:pStyle w:val="ATTANNLV1-ASDEFCON"/>
      </w:pPr>
      <w:r>
        <w:t xml:space="preserve">MILESTONE SCHEDULE AND </w:t>
      </w:r>
      <w:r w:rsidR="008E2BE9">
        <w:t>CRITERIA</w:t>
      </w:r>
    </w:p>
    <w:p w14:paraId="553157B0" w14:textId="77212757" w:rsidR="009C3FD3" w:rsidRDefault="009C3FD3" w:rsidP="000E3D10">
      <w:pPr>
        <w:pStyle w:val="ATTANNLV2-ASDEFCON"/>
      </w:pPr>
      <w:r w:rsidRPr="006F2453">
        <w:t xml:space="preserve">The </w:t>
      </w:r>
      <w:r>
        <w:t xml:space="preserve">Contractor shall comply with the </w:t>
      </w:r>
      <w:r w:rsidR="009B7C4A">
        <w:t xml:space="preserve">schedule of Milestones, including the </w:t>
      </w:r>
      <w:r>
        <w:t xml:space="preserve">dates and </w:t>
      </w:r>
      <w:r w:rsidR="009B7C4A">
        <w:t xml:space="preserve">criteria as </w:t>
      </w:r>
      <w:r>
        <w:t xml:space="preserve">identified in </w:t>
      </w:r>
      <w:r>
        <w:fldChar w:fldCharType="begin"/>
      </w:r>
      <w:r>
        <w:instrText xml:space="preserve"> REF _Ref83147309 \h </w:instrText>
      </w:r>
      <w:r>
        <w:fldChar w:fldCharType="separate"/>
      </w:r>
      <w:r w:rsidR="00E61A6A" w:rsidRPr="00710E3B">
        <w:t xml:space="preserve">Table </w:t>
      </w:r>
      <w:r w:rsidR="00E61A6A">
        <w:t>B</w:t>
      </w:r>
      <w:r w:rsidR="00E61A6A" w:rsidRPr="00710E3B">
        <w:t>-</w:t>
      </w:r>
      <w:r w:rsidR="00E61A6A">
        <w:t>B</w:t>
      </w:r>
      <w:r w:rsidR="00E61A6A">
        <w:rPr>
          <w:noProof/>
        </w:rPr>
        <w:t>1</w:t>
      </w:r>
      <w:r w:rsidR="00E61A6A" w:rsidRPr="00710E3B">
        <w:t>: Milestone Schedule</w:t>
      </w:r>
      <w:r>
        <w:fldChar w:fldCharType="end"/>
      </w:r>
      <w:r w:rsidRPr="00D94D8B">
        <w:t>.</w:t>
      </w:r>
    </w:p>
    <w:p w14:paraId="60FDDC45" w14:textId="14466355" w:rsidR="009C3FD3" w:rsidRDefault="009C3FD3" w:rsidP="009C3FD3">
      <w:pPr>
        <w:pStyle w:val="ATTANNLV2-ASDEFCON"/>
      </w:pPr>
      <w:r>
        <w:fldChar w:fldCharType="begin"/>
      </w:r>
      <w:r>
        <w:instrText xml:space="preserve"> REF _Ref48728780 \h </w:instrText>
      </w:r>
      <w:r>
        <w:fldChar w:fldCharType="separate"/>
      </w:r>
      <w:r w:rsidR="00E61A6A" w:rsidRPr="00710E3B">
        <w:t xml:space="preserve">Table </w:t>
      </w:r>
      <w:r w:rsidR="00E61A6A">
        <w:t>B</w:t>
      </w:r>
      <w:r w:rsidR="00E61A6A" w:rsidRPr="00710E3B">
        <w:t>-</w:t>
      </w:r>
      <w:r w:rsidR="00E61A6A">
        <w:t>B</w:t>
      </w:r>
      <w:r w:rsidR="00E61A6A">
        <w:rPr>
          <w:noProof/>
        </w:rPr>
        <w:t>1</w:t>
      </w:r>
      <w:r>
        <w:fldChar w:fldCharType="end"/>
      </w:r>
      <w:r>
        <w:t>:</w:t>
      </w:r>
    </w:p>
    <w:p w14:paraId="05F81B09" w14:textId="4E63B6D6" w:rsidR="009C3FD3" w:rsidRDefault="009C3FD3" w:rsidP="00C259AF">
      <w:pPr>
        <w:pStyle w:val="ATTANNLV3-ASDEFCON"/>
      </w:pPr>
      <w:r>
        <w:t>identif</w:t>
      </w:r>
      <w:r w:rsidR="008E2BE9">
        <w:t>ies</w:t>
      </w:r>
      <w:r>
        <w:t xml:space="preserve"> those Milestones that are Stop Payment Milestones;</w:t>
      </w:r>
      <w:r w:rsidR="000278E7">
        <w:t xml:space="preserve"> and</w:t>
      </w:r>
    </w:p>
    <w:p w14:paraId="5EACB534" w14:textId="3538FE80" w:rsidR="009855F1" w:rsidRDefault="008E2BE9" w:rsidP="009C3FD3">
      <w:pPr>
        <w:pStyle w:val="ATTANNLV3-ASDEFCON"/>
      </w:pPr>
      <w:r>
        <w:t xml:space="preserve">sets out the Milestone Criteria </w:t>
      </w:r>
      <w:r w:rsidR="009855F1" w:rsidRPr="002A29EA">
        <w:t>that will be used by the Commonwealth to validate whether</w:t>
      </w:r>
      <w:r w:rsidR="009855F1">
        <w:t>:</w:t>
      </w:r>
    </w:p>
    <w:p w14:paraId="5DC3FCBB" w14:textId="15080417" w:rsidR="009855F1" w:rsidRPr="002A29EA" w:rsidRDefault="009855F1" w:rsidP="00E65F94">
      <w:pPr>
        <w:pStyle w:val="ATTANNLV4-ASDEFCON"/>
      </w:pPr>
      <w:r w:rsidRPr="002A29EA">
        <w:t>the Contractor may make claims</w:t>
      </w:r>
      <w:r w:rsidR="00EA084A">
        <w:t xml:space="preserve"> in accordance with clause 7.2 COC</w:t>
      </w:r>
      <w:r w:rsidRPr="002A29EA">
        <w:t xml:space="preserve"> in relation to</w:t>
      </w:r>
      <w:r w:rsidR="00BF5188">
        <w:t xml:space="preserve"> the</w:t>
      </w:r>
      <w:r w:rsidRPr="002A29EA">
        <w:t xml:space="preserve"> achievement of work on elements comprising a given Milestone; and</w:t>
      </w:r>
    </w:p>
    <w:p w14:paraId="07322FC4" w14:textId="078EFF0F" w:rsidR="009C3FD3" w:rsidRDefault="009855F1" w:rsidP="00E65F94">
      <w:pPr>
        <w:pStyle w:val="ATTANNLV4-ASDEFCON"/>
      </w:pPr>
      <w:r w:rsidRPr="002A29EA">
        <w:t>a given Milestone has been achieved</w:t>
      </w:r>
      <w:r w:rsidR="009C3FD3" w:rsidRPr="00C91AD0">
        <w:t>.</w:t>
      </w:r>
    </w:p>
    <w:p w14:paraId="116EA1A5" w14:textId="4AD0E772" w:rsidR="00267D8B" w:rsidRDefault="00267D8B" w:rsidP="00267D8B">
      <w:pPr>
        <w:pStyle w:val="ATTANNLV2-ASDEFCON"/>
      </w:pPr>
      <w:r>
        <w:t xml:space="preserve">Subject to clause </w:t>
      </w:r>
      <w:r>
        <w:fldChar w:fldCharType="begin"/>
      </w:r>
      <w:r>
        <w:instrText xml:space="preserve"> REF _Ref115964906 \r \h </w:instrText>
      </w:r>
      <w:r>
        <w:fldChar w:fldCharType="separate"/>
      </w:r>
      <w:r w:rsidR="00E61A6A">
        <w:t>1.4</w:t>
      </w:r>
      <w:r>
        <w:fldChar w:fldCharType="end"/>
      </w:r>
      <w:r>
        <w:t>, or u</w:t>
      </w:r>
      <w:r w:rsidRPr="00C75844">
        <w:t xml:space="preserve">nless otherwise agreed between the parties, the Contractor shall not </w:t>
      </w:r>
      <w:r>
        <w:t>claim completion for a Milestone</w:t>
      </w:r>
      <w:r w:rsidRPr="00C75844">
        <w:t xml:space="preserve"> until</w:t>
      </w:r>
      <w:r>
        <w:t xml:space="preserve"> the following criteria have been met</w:t>
      </w:r>
      <w:r w:rsidRPr="00C75844">
        <w:t>:</w:t>
      </w:r>
    </w:p>
    <w:p w14:paraId="5C3BF1FC" w14:textId="00D1B941" w:rsidR="00267D8B" w:rsidRDefault="00267D8B" w:rsidP="00267D8B">
      <w:pPr>
        <w:pStyle w:val="ATTANNLV3-ASDEFCON"/>
      </w:pPr>
      <w:r>
        <w:t xml:space="preserve">all pre-requisite activities and criteria defined within the Contract, including within </w:t>
      </w:r>
      <w:r>
        <w:fldChar w:fldCharType="begin"/>
      </w:r>
      <w:r>
        <w:instrText xml:space="preserve"> REF _Ref48728780 \h </w:instrText>
      </w:r>
      <w:r>
        <w:fldChar w:fldCharType="separate"/>
      </w:r>
      <w:r w:rsidR="00E61A6A" w:rsidRPr="00710E3B">
        <w:t xml:space="preserve">Table </w:t>
      </w:r>
      <w:r w:rsidR="00E61A6A">
        <w:t>B</w:t>
      </w:r>
      <w:r w:rsidR="00E61A6A" w:rsidRPr="00710E3B">
        <w:t>-</w:t>
      </w:r>
      <w:r w:rsidR="00E61A6A">
        <w:t>B</w:t>
      </w:r>
      <w:r w:rsidR="00E61A6A">
        <w:rPr>
          <w:noProof/>
        </w:rPr>
        <w:t>1</w:t>
      </w:r>
      <w:r>
        <w:fldChar w:fldCharType="end"/>
      </w:r>
      <w:r>
        <w:t>, have been met;</w:t>
      </w:r>
    </w:p>
    <w:p w14:paraId="02BF2F7C" w14:textId="6F919389" w:rsidR="00267D8B" w:rsidRDefault="00267D8B" w:rsidP="00267D8B">
      <w:pPr>
        <w:pStyle w:val="ATTANNLV3-ASDEFCON"/>
      </w:pPr>
      <w:r>
        <w:t xml:space="preserve">any goods scheduled for delivery to </w:t>
      </w:r>
      <w:r w:rsidR="00F07B28">
        <w:t xml:space="preserve">the Commonwealth </w:t>
      </w:r>
      <w:r>
        <w:t>on or prior to the Milestone have been delivered and, if applicable, Accepted;</w:t>
      </w:r>
    </w:p>
    <w:p w14:paraId="7B8D60D7" w14:textId="77777777" w:rsidR="00267D8B" w:rsidRDefault="00267D8B" w:rsidP="00267D8B">
      <w:pPr>
        <w:pStyle w:val="ATTANNLV3-ASDEFCON"/>
      </w:pPr>
      <w:r>
        <w:t xml:space="preserve">any Services scheduled for completion on or prior to the Milestone have been completed </w:t>
      </w:r>
      <w:r w:rsidRPr="00D81D06">
        <w:t>to the satisfaction of the Commonwealth Representative</w:t>
      </w:r>
      <w:r>
        <w:t>;</w:t>
      </w:r>
    </w:p>
    <w:p w14:paraId="79C90C2B" w14:textId="4C3E72E6" w:rsidR="00267D8B" w:rsidRDefault="00267D8B" w:rsidP="00267D8B">
      <w:pPr>
        <w:pStyle w:val="ATTANNLV3-ASDEFCON"/>
      </w:pPr>
      <w:r w:rsidRPr="00C75844">
        <w:t>all data items</w:t>
      </w:r>
      <w:r>
        <w:t xml:space="preserve"> required to be delivered before the Milestone,</w:t>
      </w:r>
      <w:r w:rsidRPr="00C75844">
        <w:t xml:space="preserve"> </w:t>
      </w:r>
      <w:r>
        <w:t>which are applicable to the Milestone,</w:t>
      </w:r>
      <w:r w:rsidRPr="00C75844">
        <w:t xml:space="preserve"> have been delivered and the Commonwealth Representative considers the</w:t>
      </w:r>
      <w:r>
        <w:t>m</w:t>
      </w:r>
      <w:r w:rsidRPr="00C75844">
        <w:t xml:space="preserve"> suitable for the purpose</w:t>
      </w:r>
      <w:r>
        <w:t>s</w:t>
      </w:r>
      <w:r w:rsidRPr="00C75844">
        <w:t xml:space="preserve"> of the </w:t>
      </w:r>
      <w:r>
        <w:t xml:space="preserve">Milestone </w:t>
      </w:r>
      <w:r w:rsidRPr="00523B50">
        <w:t xml:space="preserve">(which includes </w:t>
      </w:r>
      <w:r>
        <w:t xml:space="preserve">the suitability of </w:t>
      </w:r>
      <w:r w:rsidRPr="00523B50">
        <w:t xml:space="preserve">the data items for </w:t>
      </w:r>
      <w:r>
        <w:t>the applicable Commonwealth action (eg</w:t>
      </w:r>
      <w:r w:rsidRPr="00523B50">
        <w:t>, Approval</w:t>
      </w:r>
      <w:r>
        <w:t xml:space="preserve"> or Acceptance</w:t>
      </w:r>
      <w:r w:rsidRPr="00523B50">
        <w:t>)</w:t>
      </w:r>
      <w:r w:rsidR="00F07B28">
        <w:t>)</w:t>
      </w:r>
      <w:r>
        <w:t>; and</w:t>
      </w:r>
    </w:p>
    <w:p w14:paraId="30E4CC53" w14:textId="5AFCA602" w:rsidR="00267D8B" w:rsidRDefault="00267D8B" w:rsidP="00267D8B">
      <w:pPr>
        <w:pStyle w:val="ATTANNLV3-ASDEFCON"/>
      </w:pPr>
      <w:r>
        <w:t>any</w:t>
      </w:r>
      <w:r w:rsidRPr="00C75844">
        <w:t xml:space="preserve"> criteria</w:t>
      </w:r>
      <w:r>
        <w:t xml:space="preserve"> defined in the Approved Services Management Plan, or other Approved governing plan</w:t>
      </w:r>
      <w:r w:rsidRPr="00C75844">
        <w:t xml:space="preserve"> </w:t>
      </w:r>
      <w:r>
        <w:t>under the Contract, have been met.</w:t>
      </w:r>
    </w:p>
    <w:p w14:paraId="297985F3" w14:textId="2D88D773" w:rsidR="00267D8B" w:rsidRDefault="00267D8B" w:rsidP="00267D8B">
      <w:pPr>
        <w:pStyle w:val="ATTANNLV2-ASDEFCON"/>
      </w:pPr>
      <w:bookmarkStart w:id="1" w:name="_Ref138587088"/>
      <w:bookmarkStart w:id="2" w:name="_Ref115964906"/>
      <w:r>
        <w:t xml:space="preserve">The Commonwealth Representative may </w:t>
      </w:r>
      <w:r w:rsidR="00D559F2">
        <w:t>agree that the requirements for a Milestone have been met despite the existence of minor omissions or defects in the Services</w:t>
      </w:r>
      <w:r w:rsidR="00DA7A29">
        <w:t>, including</w:t>
      </w:r>
      <w:r w:rsidR="00D559F2">
        <w:t xml:space="preserve"> any </w:t>
      </w:r>
      <w:r w:rsidR="00F07B28">
        <w:t>D</w:t>
      </w:r>
      <w:r w:rsidR="00D559F2">
        <w:t xml:space="preserve">eliverables, when </w:t>
      </w:r>
      <w:r w:rsidR="00DA7A29">
        <w:t>the Contractor has</w:t>
      </w:r>
      <w:r w:rsidR="00CB39C9">
        <w:t>, as applicable</w:t>
      </w:r>
      <w:r w:rsidR="00DA7A29">
        <w:t>:</w:t>
      </w:r>
      <w:bookmarkEnd w:id="1"/>
    </w:p>
    <w:p w14:paraId="45E8EF60" w14:textId="7726C975" w:rsidR="00CB1633" w:rsidRDefault="00CB1633" w:rsidP="00E65F94">
      <w:pPr>
        <w:pStyle w:val="ATTANNLV3-ASDEFCON"/>
      </w:pPr>
      <w:bookmarkStart w:id="3" w:name="_Ref138793977"/>
      <w:r>
        <w:t xml:space="preserve">provided a written explanation to the Commonwealth </w:t>
      </w:r>
      <w:r w:rsidR="00CB39C9">
        <w:t>explaining</w:t>
      </w:r>
      <w:r>
        <w:t xml:space="preserve"> how the </w:t>
      </w:r>
      <w:r w:rsidR="00CB39C9">
        <w:t xml:space="preserve">Contractor plans to rectify the </w:t>
      </w:r>
      <w:r>
        <w:t xml:space="preserve">minor omission or defect, </w:t>
      </w:r>
      <w:r w:rsidR="00CB39C9">
        <w:t>including</w:t>
      </w:r>
      <w:r>
        <w:t xml:space="preserve"> the applicable timeframe for resolution, </w:t>
      </w:r>
      <w:r w:rsidR="00CB39C9">
        <w:t xml:space="preserve">and the </w:t>
      </w:r>
      <w:r>
        <w:t>Commonwealth Representative</w:t>
      </w:r>
      <w:r w:rsidR="00CB39C9">
        <w:t xml:space="preserve"> has notified the Contractor</w:t>
      </w:r>
      <w:r w:rsidR="009B7C4A">
        <w:t xml:space="preserve"> of its agreement to the Contractor’s proposed rectification plans</w:t>
      </w:r>
      <w:r w:rsidR="00CB39C9">
        <w:t>; or</w:t>
      </w:r>
      <w:bookmarkEnd w:id="3"/>
    </w:p>
    <w:p w14:paraId="5DE9AC09" w14:textId="17FDC161" w:rsidR="00DA7A29" w:rsidRDefault="00CB1633" w:rsidP="00E65F94">
      <w:pPr>
        <w:pStyle w:val="ATTANNLV3-ASDEFCON"/>
      </w:pPr>
      <w:bookmarkStart w:id="4" w:name="_Ref138794095"/>
      <w:r>
        <w:t xml:space="preserve">for related </w:t>
      </w:r>
      <w:r w:rsidR="00F07B28">
        <w:t>D</w:t>
      </w:r>
      <w:r>
        <w:t>eliverables subject to Acceptance</w:t>
      </w:r>
      <w:r w:rsidR="00DA7A29">
        <w:t xml:space="preserve">, submitted an Application for a Deviation in accordance with </w:t>
      </w:r>
      <w:r>
        <w:t>clause 6.6.</w:t>
      </w:r>
      <w:r w:rsidR="006E27F5">
        <w:t>5</w:t>
      </w:r>
      <w:r>
        <w:t xml:space="preserve"> of the COC and clause </w:t>
      </w:r>
      <w:r w:rsidR="009169F2">
        <w:t>9</w:t>
      </w:r>
      <w:r>
        <w:t>.4.1 of the SOW.</w:t>
      </w:r>
      <w:bookmarkEnd w:id="4"/>
    </w:p>
    <w:p w14:paraId="4E6D7268" w14:textId="6FF19730" w:rsidR="00F07B28" w:rsidRPr="00F4090A" w:rsidRDefault="00F07B28" w:rsidP="00F07B28">
      <w:pPr>
        <w:pStyle w:val="ATTANNLV2-ASDEFCON"/>
      </w:pPr>
      <w:r w:rsidRPr="00F4090A">
        <w:t>The Contractor acknowledges and agrees that:</w:t>
      </w:r>
    </w:p>
    <w:p w14:paraId="33C2A12F" w14:textId="7B8EE5FE" w:rsidR="00876E34" w:rsidRPr="00F4090A" w:rsidRDefault="00F4090A" w:rsidP="00F07B28">
      <w:pPr>
        <w:pStyle w:val="ATTANNLV3-ASDEFCON"/>
      </w:pPr>
      <w:r>
        <w:t xml:space="preserve">it will </w:t>
      </w:r>
      <w:r w:rsidR="00876E34" w:rsidRPr="00F4090A">
        <w:t xml:space="preserve">comply with </w:t>
      </w:r>
      <w:r>
        <w:t xml:space="preserve">a rectification plan agreed under clause </w:t>
      </w:r>
      <w:r>
        <w:fldChar w:fldCharType="begin"/>
      </w:r>
      <w:r>
        <w:instrText xml:space="preserve"> REF _Ref138793977 \w \h </w:instrText>
      </w:r>
      <w:r>
        <w:fldChar w:fldCharType="separate"/>
      </w:r>
      <w:r w:rsidR="00E61A6A">
        <w:t>1.4a</w:t>
      </w:r>
      <w:r>
        <w:fldChar w:fldCharType="end"/>
      </w:r>
      <w:r>
        <w:t>; and</w:t>
      </w:r>
    </w:p>
    <w:p w14:paraId="3FFA2A8F" w14:textId="6C1590AC" w:rsidR="00F4090A" w:rsidRDefault="00F4090A" w:rsidP="00F07B28">
      <w:pPr>
        <w:pStyle w:val="ATTANNLV3-ASDEFCON"/>
      </w:pPr>
      <w:r>
        <w:t xml:space="preserve">if an Application for a Deviation submitted in accordance with clause </w:t>
      </w:r>
      <w:r>
        <w:fldChar w:fldCharType="begin"/>
      </w:r>
      <w:r>
        <w:instrText xml:space="preserve"> REF _Ref138794095 \w \h </w:instrText>
      </w:r>
      <w:r>
        <w:fldChar w:fldCharType="separate"/>
      </w:r>
      <w:r w:rsidR="00E61A6A">
        <w:t>1.4b</w:t>
      </w:r>
      <w:r>
        <w:fldChar w:fldCharType="end"/>
      </w:r>
      <w:r>
        <w:t xml:space="preserve"> is rejected, it will rectify the omission or defect within a reasonable period of the rejection;</w:t>
      </w:r>
    </w:p>
    <w:p w14:paraId="1CC931E7" w14:textId="6EA634B9" w:rsidR="00F07B28" w:rsidRPr="00876E34" w:rsidRDefault="00F07B28" w:rsidP="00F07B28">
      <w:pPr>
        <w:pStyle w:val="ATTANNLV3-ASDEFCON"/>
      </w:pPr>
      <w:r w:rsidRPr="00876E34">
        <w:t xml:space="preserve">the Commonwealth Representative is not required to exercise the discretion under clause </w:t>
      </w:r>
      <w:r w:rsidRPr="00876E34">
        <w:fldChar w:fldCharType="begin"/>
      </w:r>
      <w:r w:rsidRPr="00876E34">
        <w:instrText xml:space="preserve"> REF _Ref138587088 \r \h </w:instrText>
      </w:r>
      <w:r w:rsidR="00876E34" w:rsidRPr="00876E34">
        <w:instrText xml:space="preserve"> \* MERGEFORMAT </w:instrText>
      </w:r>
      <w:r w:rsidRPr="00876E34">
        <w:fldChar w:fldCharType="separate"/>
      </w:r>
      <w:r w:rsidR="00E61A6A">
        <w:t>1.4</w:t>
      </w:r>
      <w:r w:rsidRPr="00876E34">
        <w:fldChar w:fldCharType="end"/>
      </w:r>
      <w:r w:rsidRPr="00876E34">
        <w:t>; and</w:t>
      </w:r>
    </w:p>
    <w:p w14:paraId="61CF5D1D" w14:textId="643542FE" w:rsidR="00F07B28" w:rsidRDefault="00F07B28" w:rsidP="00585741">
      <w:pPr>
        <w:pStyle w:val="ATTANNLV3-ASDEFCON"/>
        <w:numPr>
          <w:ilvl w:val="0"/>
          <w:numId w:val="0"/>
        </w:numPr>
        <w:ind w:left="1418"/>
      </w:pPr>
      <w:r w:rsidRPr="00876E34">
        <w:t xml:space="preserve">exercising, or failing to exercise the discretion under clause </w:t>
      </w:r>
      <w:r w:rsidRPr="00876E34">
        <w:fldChar w:fldCharType="begin"/>
      </w:r>
      <w:r w:rsidRPr="00876E34">
        <w:instrText xml:space="preserve"> REF _Ref138587088 \r \h </w:instrText>
      </w:r>
      <w:r w:rsidR="00876E34" w:rsidRPr="00876E34">
        <w:instrText xml:space="preserve"> \* MERGEFORMAT </w:instrText>
      </w:r>
      <w:r w:rsidRPr="00876E34">
        <w:fldChar w:fldCharType="separate"/>
      </w:r>
      <w:r w:rsidR="00E61A6A">
        <w:t>1.4</w:t>
      </w:r>
      <w:r w:rsidRPr="00876E34">
        <w:fldChar w:fldCharType="end"/>
      </w:r>
      <w:r w:rsidRPr="00876E34">
        <w:t xml:space="preserve"> </w:t>
      </w:r>
      <w:r w:rsidR="00754B35" w:rsidRPr="00876E34">
        <w:t>does not limit any other right</w:t>
      </w:r>
      <w:r w:rsidR="002568A9" w:rsidRPr="00876E34">
        <w:t xml:space="preserve"> of </w:t>
      </w:r>
      <w:r w:rsidR="00754B35" w:rsidRPr="00876E34">
        <w:t xml:space="preserve">the Commonwealth in relation to the achievement of the Milestone and </w:t>
      </w:r>
      <w:r w:rsidRPr="00876E34">
        <w:t>is not capable of being the subject of a dispute for the purposes of clause 13.1 of the COC or otherwise subject to review.</w:t>
      </w:r>
    </w:p>
    <w:bookmarkEnd w:id="2"/>
    <w:p w14:paraId="117D1283" w14:textId="6984C106" w:rsidR="009855F1" w:rsidRDefault="009855F1" w:rsidP="00267D8B">
      <w:pPr>
        <w:pStyle w:val="ASDEFCONNormal"/>
      </w:pPr>
    </w:p>
    <w:p w14:paraId="0BFB6C40" w14:textId="77777777" w:rsidR="009855F1" w:rsidRDefault="009855F1" w:rsidP="00267D8B">
      <w:pPr>
        <w:pStyle w:val="ASDEFCONNormal"/>
        <w:sectPr w:rsidR="009855F1" w:rsidSect="00E65F94">
          <w:headerReference w:type="even" r:id="rId9"/>
          <w:headerReference w:type="default" r:id="rId10"/>
          <w:footerReference w:type="even" r:id="rId11"/>
          <w:footerReference w:type="default" r:id="rId12"/>
          <w:headerReference w:type="first" r:id="rId13"/>
          <w:footerReference w:type="first" r:id="rId14"/>
          <w:pgSz w:w="11907" w:h="16840" w:code="9"/>
          <w:pgMar w:top="1304" w:right="1418" w:bottom="907" w:left="1418" w:header="567" w:footer="567" w:gutter="0"/>
          <w:paperSrc w:first="257" w:other="257"/>
          <w:pgNumType w:start="1"/>
          <w:cols w:space="720"/>
          <w:docGrid w:linePitch="272"/>
        </w:sectPr>
      </w:pPr>
    </w:p>
    <w:p w14:paraId="046A71C1" w14:textId="77777777" w:rsidR="009C3FD3" w:rsidRDefault="009C3FD3" w:rsidP="00C259AF">
      <w:pPr>
        <w:pStyle w:val="NoteToDrafters-ASDEFCON"/>
      </w:pPr>
      <w:r w:rsidRPr="006F2453">
        <w:lastRenderedPageBreak/>
        <w:t xml:space="preserve">Note to drafters:  </w:t>
      </w:r>
      <w:r>
        <w:t>E</w:t>
      </w:r>
      <w:r w:rsidRPr="006F2453">
        <w:t xml:space="preserve">nsure that </w:t>
      </w:r>
      <w:r>
        <w:t>p</w:t>
      </w:r>
      <w:r w:rsidRPr="006F2453">
        <w:t xml:space="preserve">rior to </w:t>
      </w:r>
      <w:r>
        <w:t>issuing the Request for Tender (RFT):</w:t>
      </w:r>
    </w:p>
    <w:p w14:paraId="24608EA7" w14:textId="146CC8FA" w:rsidR="0005730F" w:rsidRDefault="009C3FD3" w:rsidP="00C259AF">
      <w:pPr>
        <w:pStyle w:val="NoteToDraftersList-ASDEFCON"/>
      </w:pPr>
      <w:r>
        <w:t xml:space="preserve">the list of Milestones </w:t>
      </w:r>
      <w:r w:rsidR="0005730F">
        <w:t xml:space="preserve">is consistent with those identified for TDR D-2, including the Milestone Schedule in the </w:t>
      </w:r>
      <w:r w:rsidR="004C5CAF">
        <w:rPr>
          <w:noProof/>
        </w:rPr>
        <w:t>C</w:t>
      </w:r>
      <w:r w:rsidR="00AF1FD9">
        <w:rPr>
          <w:noProof/>
        </w:rPr>
        <w:t xml:space="preserve">omplex </w:t>
      </w:r>
      <w:r w:rsidR="004C5CAF">
        <w:rPr>
          <w:noProof/>
        </w:rPr>
        <w:t>S</w:t>
      </w:r>
      <w:r w:rsidR="00AF1FD9">
        <w:rPr>
          <w:noProof/>
        </w:rPr>
        <w:t>ervices</w:t>
      </w:r>
      <w:r w:rsidR="004C5CAF">
        <w:rPr>
          <w:noProof/>
        </w:rPr>
        <w:t xml:space="preserve"> Pricing Workbook (CS</w:t>
      </w:r>
      <w:r w:rsidR="00AF1FD9">
        <w:rPr>
          <w:noProof/>
        </w:rPr>
        <w:t>ER</w:t>
      </w:r>
      <w:r w:rsidR="004C5CAF">
        <w:rPr>
          <w:noProof/>
        </w:rPr>
        <w:t>PW)</w:t>
      </w:r>
      <w:r w:rsidR="0005730F">
        <w:t>;</w:t>
      </w:r>
    </w:p>
    <w:p w14:paraId="2B0567D7" w14:textId="2C66E3AE" w:rsidR="0005730F" w:rsidRDefault="0005730F" w:rsidP="00C259AF">
      <w:pPr>
        <w:pStyle w:val="NoteToDraftersList-ASDEFCON"/>
      </w:pPr>
      <w:r>
        <w:t xml:space="preserve">the </w:t>
      </w:r>
      <w:r w:rsidR="009C3FD3">
        <w:t>associated entry/exit criteria in the following table are updated to align with the specific requirements of the Contract, particularly the SOW;</w:t>
      </w:r>
    </w:p>
    <w:p w14:paraId="049C5A5B" w14:textId="031738C3" w:rsidR="009C3FD3" w:rsidRDefault="009C3FD3" w:rsidP="009C3FD3">
      <w:pPr>
        <w:pStyle w:val="NoteToDraftersList-ASDEFCON"/>
      </w:pPr>
      <w:r>
        <w:t>the Milestones that the Commonwealth wishes to have treated as Stop Payment Milestones are identified in the table.</w:t>
      </w:r>
    </w:p>
    <w:p w14:paraId="10FE892E" w14:textId="3E968409" w:rsidR="009C3FD3" w:rsidRDefault="009C3FD3" w:rsidP="0042249F">
      <w:pPr>
        <w:pStyle w:val="NoteToDrafters-ASDEFCON"/>
      </w:pPr>
      <w:r>
        <w:t>Also, drafters are to ensure that prior to the Effective Date</w:t>
      </w:r>
      <w:r w:rsidR="0042249F">
        <w:t>, for</w:t>
      </w:r>
      <w:r w:rsidR="0042249F" w:rsidRPr="0042249F">
        <w:t xml:space="preserve"> </w:t>
      </w:r>
      <w:r w:rsidR="0042249F">
        <w:t xml:space="preserve">each Milestone, corresponding entry and exit criteria are </w:t>
      </w:r>
      <w:r w:rsidR="00D03F80">
        <w:t xml:space="preserve">updated and </w:t>
      </w:r>
      <w:r w:rsidR="0042249F">
        <w:t>included.</w:t>
      </w:r>
    </w:p>
    <w:p w14:paraId="2F542A55" w14:textId="069045AA" w:rsidR="00E65F94" w:rsidRDefault="00E65F94" w:rsidP="0042249F">
      <w:pPr>
        <w:pStyle w:val="NoteToDrafters-ASDEFCON"/>
      </w:pPr>
    </w:p>
    <w:p w14:paraId="617FE3B2" w14:textId="77777777" w:rsidR="00E65F94" w:rsidRDefault="00E65F94" w:rsidP="00E65F94">
      <w:pPr>
        <w:pStyle w:val="NoteToDrafters-ASDEFCON"/>
      </w:pPr>
      <w:r>
        <w:t>Notes on Table B-B1:</w:t>
      </w:r>
    </w:p>
    <w:p w14:paraId="024F1D47" w14:textId="305B01A8" w:rsidR="00E65F94" w:rsidRDefault="00E65F94" w:rsidP="00E65F94">
      <w:pPr>
        <w:pStyle w:val="NoteToDraftersList-ASDEFCON"/>
        <w:numPr>
          <w:ilvl w:val="0"/>
          <w:numId w:val="61"/>
        </w:numPr>
      </w:pPr>
      <w:r>
        <w:t>ID:  A unique line item number.</w:t>
      </w:r>
    </w:p>
    <w:p w14:paraId="3022D8B4" w14:textId="350602F7" w:rsidR="00E65F94" w:rsidRDefault="00E65F94" w:rsidP="00E65F94">
      <w:pPr>
        <w:pStyle w:val="NoteToDraftersList-ASDEFCON"/>
      </w:pPr>
      <w:r>
        <w:t>Milestone:  Milestone name or abbreviation.</w:t>
      </w:r>
    </w:p>
    <w:p w14:paraId="43E035CD" w14:textId="21EC8D77" w:rsidR="00E65F94" w:rsidRDefault="00E65F94" w:rsidP="00E65F94">
      <w:pPr>
        <w:pStyle w:val="NoteToDraftersList-ASDEFCON"/>
      </w:pPr>
      <w:r>
        <w:t>Milestone Date:  Scheduled date for the (start of the) Milestone in months after the Effective Date or a previous Milestone.</w:t>
      </w:r>
    </w:p>
    <w:p w14:paraId="0B7CE419" w14:textId="543280BF" w:rsidR="00E65F94" w:rsidRDefault="00E65F94" w:rsidP="00E65F94">
      <w:pPr>
        <w:pStyle w:val="NoteToDraftersList-ASDEFCON"/>
      </w:pPr>
      <w:r>
        <w:t>Stop Payment:  Is this Milestone a Stop Payment Milestone in accordance with clause 7.9 of the COC.</w:t>
      </w:r>
    </w:p>
    <w:p w14:paraId="514758C4" w14:textId="4887C21A" w:rsidR="00E65F94" w:rsidRDefault="00E65F94" w:rsidP="00E65F94">
      <w:pPr>
        <w:pStyle w:val="NoteToDraftersList-ASDEFCON"/>
      </w:pPr>
      <w:r>
        <w:t>Description of Milestone:  Briefly describe the Milestone, including any Delivery Location requirements.</w:t>
      </w:r>
    </w:p>
    <w:p w14:paraId="67CD4679" w14:textId="4B3BDC52" w:rsidR="00E65F94" w:rsidRDefault="00E65F94" w:rsidP="00E65F94">
      <w:pPr>
        <w:pStyle w:val="NoteToDraftersList-ASDEFCON"/>
      </w:pPr>
      <w:r>
        <w:t>Milestone Criteria:  The specific Milestone Criteria relevant to each Milestone, as tailored to suit Contract-specific needs.  Note, when a Milestone Payment is attached to a particular Milestone, specific exit criteria may be specified to determine whether or not payment can actually be made.  Similarly, a Milestone may be used to designate the start of a pricing period for Recurring Services, and the exit criteria are used to determine if the new level of Services (and associated Recurring Services Fees) can commence.  Milestone criteria may refer to Contractor plans (ie, if these are required to scope specific requirements) or referenced manuals (eg, completion of a major Maintenance servicing as defined in a planned servicing schedule).  Milestone Payments should not be listed here but be listed in the ‘Milestone Schedule’ at Annex A to Attachment B.  By way of example, entry and exit criteria are provided in the Table above.</w:t>
      </w:r>
    </w:p>
    <w:p w14:paraId="0147517F" w14:textId="6CCB0137" w:rsidR="009C3FD3" w:rsidRPr="00710E3B" w:rsidRDefault="009C3FD3" w:rsidP="00D57C14">
      <w:pPr>
        <w:pStyle w:val="Caption"/>
        <w:keepNext/>
        <w:jc w:val="center"/>
      </w:pPr>
      <w:bookmarkStart w:id="5" w:name="_Ref48728780"/>
      <w:bookmarkStart w:id="6" w:name="_Ref83147309"/>
      <w:r w:rsidRPr="00710E3B">
        <w:t xml:space="preserve">Table </w:t>
      </w:r>
      <w:r w:rsidR="004C5CAF">
        <w:t>B</w:t>
      </w:r>
      <w:r w:rsidRPr="00710E3B">
        <w:t>-</w:t>
      </w:r>
      <w:r w:rsidR="004C5CAF">
        <w:t>B</w:t>
      </w:r>
      <w:r w:rsidR="00E61A6A">
        <w:fldChar w:fldCharType="begin"/>
      </w:r>
      <w:r w:rsidR="00E61A6A">
        <w:instrText xml:space="preserve"> SEQ Table \* ARABIC </w:instrText>
      </w:r>
      <w:r w:rsidR="00E61A6A">
        <w:fldChar w:fldCharType="separate"/>
      </w:r>
      <w:r w:rsidR="00E61A6A">
        <w:rPr>
          <w:noProof/>
        </w:rPr>
        <w:t>1</w:t>
      </w:r>
      <w:r w:rsidR="00E61A6A">
        <w:rPr>
          <w:noProof/>
        </w:rPr>
        <w:fldChar w:fldCharType="end"/>
      </w:r>
      <w:bookmarkEnd w:id="5"/>
      <w:r w:rsidRPr="00710E3B">
        <w:t>: Milestone Schedule</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
        <w:gridCol w:w="3076"/>
        <w:gridCol w:w="1377"/>
        <w:gridCol w:w="1205"/>
        <w:gridCol w:w="3441"/>
        <w:gridCol w:w="4988"/>
      </w:tblGrid>
      <w:tr w:rsidR="00DC3911" w:rsidRPr="00E06AE2" w14:paraId="303CB817" w14:textId="77777777" w:rsidTr="00DC3911">
        <w:trPr>
          <w:tblHeader/>
        </w:trPr>
        <w:tc>
          <w:tcPr>
            <w:tcW w:w="182" w:type="pct"/>
            <w:shd w:val="pct15" w:color="auto" w:fill="FFFFFF"/>
          </w:tcPr>
          <w:p w14:paraId="280E2C49" w14:textId="77777777" w:rsidR="00DC3911" w:rsidRPr="00E06AE2" w:rsidRDefault="00DC3911" w:rsidP="00C259AF">
            <w:pPr>
              <w:pStyle w:val="Table8ptHeading-ASDEFCON"/>
            </w:pPr>
            <w:r>
              <w:t>ID</w:t>
            </w:r>
          </w:p>
        </w:tc>
        <w:tc>
          <w:tcPr>
            <w:tcW w:w="1052" w:type="pct"/>
            <w:shd w:val="pct15" w:color="auto" w:fill="FFFFFF"/>
          </w:tcPr>
          <w:p w14:paraId="42C5BA5F" w14:textId="77777777" w:rsidR="00DC3911" w:rsidRPr="00E06AE2" w:rsidRDefault="00DC3911" w:rsidP="00C259AF">
            <w:pPr>
              <w:pStyle w:val="Table8ptHeading-ASDEFCON"/>
            </w:pPr>
            <w:r w:rsidRPr="00E06AE2">
              <w:t>Milestone</w:t>
            </w:r>
          </w:p>
        </w:tc>
        <w:tc>
          <w:tcPr>
            <w:tcW w:w="471" w:type="pct"/>
            <w:shd w:val="pct15" w:color="auto" w:fill="FFFFFF"/>
          </w:tcPr>
          <w:p w14:paraId="368BA94A" w14:textId="77777777" w:rsidR="00DC3911" w:rsidRPr="00E06AE2" w:rsidRDefault="00DC3911" w:rsidP="00C259AF">
            <w:pPr>
              <w:pStyle w:val="Table8ptHeading-ASDEFCON"/>
            </w:pPr>
            <w:r w:rsidRPr="00E06AE2">
              <w:t>Milestone Date</w:t>
            </w:r>
          </w:p>
          <w:p w14:paraId="26EA44B7" w14:textId="77777777" w:rsidR="00DC3911" w:rsidRPr="00E06AE2" w:rsidRDefault="00DC3911" w:rsidP="00D6291B">
            <w:pPr>
              <w:pStyle w:val="Table8ptHeading-ASDEFCON"/>
            </w:pPr>
            <w:r w:rsidRPr="00E06AE2">
              <w:t>(</w:t>
            </w:r>
            <w:r>
              <w:t xml:space="preserve">in </w:t>
            </w:r>
            <w:r w:rsidRPr="00E06AE2">
              <w:t>months)</w:t>
            </w:r>
          </w:p>
        </w:tc>
        <w:tc>
          <w:tcPr>
            <w:tcW w:w="412" w:type="pct"/>
            <w:shd w:val="pct15" w:color="auto" w:fill="FFFFFF"/>
          </w:tcPr>
          <w:p w14:paraId="045AE93D" w14:textId="77777777" w:rsidR="00DC3911" w:rsidRDefault="00DC3911" w:rsidP="00D6291B">
            <w:pPr>
              <w:pStyle w:val="Table8ptHeading-ASDEFCON"/>
            </w:pPr>
            <w:r>
              <w:t>Stop Payment</w:t>
            </w:r>
          </w:p>
          <w:p w14:paraId="2EB28AF3" w14:textId="77777777" w:rsidR="00DC3911" w:rsidRPr="00E06AE2" w:rsidRDefault="00DC3911" w:rsidP="00D6291B">
            <w:pPr>
              <w:pStyle w:val="Table8ptHeading-ASDEFCON"/>
            </w:pPr>
            <w:r>
              <w:t>(Y/N)</w:t>
            </w:r>
          </w:p>
        </w:tc>
        <w:tc>
          <w:tcPr>
            <w:tcW w:w="1177" w:type="pct"/>
            <w:shd w:val="pct15" w:color="auto" w:fill="FFFFFF"/>
          </w:tcPr>
          <w:p w14:paraId="12895230" w14:textId="3E576EB1" w:rsidR="00DC3911" w:rsidRPr="00E06AE2" w:rsidRDefault="00DC3911" w:rsidP="008E2BE9">
            <w:pPr>
              <w:pStyle w:val="Table8ptHeading-ASDEFCON"/>
            </w:pPr>
            <w:r>
              <w:t xml:space="preserve">Description of Milestone </w:t>
            </w:r>
          </w:p>
        </w:tc>
        <w:tc>
          <w:tcPr>
            <w:tcW w:w="1707" w:type="pct"/>
            <w:shd w:val="pct15" w:color="auto" w:fill="FFFFFF"/>
          </w:tcPr>
          <w:p w14:paraId="3922C0F9" w14:textId="3B3E4548" w:rsidR="00DC3911" w:rsidRPr="00E06AE2" w:rsidRDefault="00DC3911" w:rsidP="00D6291B">
            <w:pPr>
              <w:pStyle w:val="Table8ptHeading-ASDEFCON"/>
            </w:pPr>
            <w:r>
              <w:t>Milestone Criteria (including any specific entry and exit criteria)</w:t>
            </w:r>
          </w:p>
        </w:tc>
      </w:tr>
      <w:tr w:rsidR="00DC3911" w:rsidRPr="00E06AE2" w14:paraId="60CA46EC" w14:textId="77777777" w:rsidTr="00DC3911">
        <w:trPr>
          <w:tblHeader/>
        </w:trPr>
        <w:tc>
          <w:tcPr>
            <w:tcW w:w="182" w:type="pct"/>
            <w:shd w:val="pct15" w:color="auto" w:fill="FFFFFF"/>
          </w:tcPr>
          <w:p w14:paraId="246F2253" w14:textId="77777777" w:rsidR="00DC3911" w:rsidRPr="00E06AE2" w:rsidRDefault="00DC3911" w:rsidP="00D6291B">
            <w:pPr>
              <w:pStyle w:val="Table8ptHeading-ASDEFCON"/>
            </w:pPr>
            <w:r>
              <w:t>(a)</w:t>
            </w:r>
          </w:p>
        </w:tc>
        <w:tc>
          <w:tcPr>
            <w:tcW w:w="1052" w:type="pct"/>
            <w:shd w:val="pct15" w:color="auto" w:fill="FFFFFF"/>
          </w:tcPr>
          <w:p w14:paraId="56848711" w14:textId="77777777" w:rsidR="00DC3911" w:rsidRPr="00E06AE2" w:rsidRDefault="00DC3911" w:rsidP="00D6291B">
            <w:pPr>
              <w:pStyle w:val="Table8ptHeading-ASDEFCON"/>
            </w:pPr>
            <w:r w:rsidRPr="00E06AE2">
              <w:t>(</w:t>
            </w:r>
            <w:r>
              <w:t>b</w:t>
            </w:r>
            <w:r w:rsidRPr="00E06AE2">
              <w:t>)</w:t>
            </w:r>
          </w:p>
        </w:tc>
        <w:tc>
          <w:tcPr>
            <w:tcW w:w="471" w:type="pct"/>
            <w:shd w:val="pct15" w:color="auto" w:fill="FFFFFF"/>
          </w:tcPr>
          <w:p w14:paraId="353E8ADE" w14:textId="77777777" w:rsidR="00DC3911" w:rsidRPr="00E06AE2" w:rsidRDefault="00DC3911" w:rsidP="00D6291B">
            <w:pPr>
              <w:pStyle w:val="Table8ptHeading-ASDEFCON"/>
            </w:pPr>
            <w:r w:rsidRPr="00E06AE2">
              <w:t>(</w:t>
            </w:r>
            <w:r>
              <w:t>c</w:t>
            </w:r>
            <w:r w:rsidRPr="00E06AE2">
              <w:t>)</w:t>
            </w:r>
          </w:p>
        </w:tc>
        <w:tc>
          <w:tcPr>
            <w:tcW w:w="412" w:type="pct"/>
            <w:shd w:val="pct15" w:color="auto" w:fill="FFFFFF"/>
          </w:tcPr>
          <w:p w14:paraId="3B622B82" w14:textId="77777777" w:rsidR="00DC3911" w:rsidRPr="00E06AE2" w:rsidRDefault="00DC3911" w:rsidP="00D6291B">
            <w:pPr>
              <w:pStyle w:val="Table8ptHeading-ASDEFCON"/>
            </w:pPr>
            <w:r>
              <w:t>(d)</w:t>
            </w:r>
          </w:p>
        </w:tc>
        <w:tc>
          <w:tcPr>
            <w:tcW w:w="1177" w:type="pct"/>
            <w:shd w:val="pct15" w:color="auto" w:fill="FFFFFF"/>
          </w:tcPr>
          <w:p w14:paraId="402BF14B" w14:textId="77777777" w:rsidR="00DC3911" w:rsidRPr="00E06AE2" w:rsidRDefault="00DC3911" w:rsidP="00D6291B">
            <w:pPr>
              <w:pStyle w:val="Table8ptHeading-ASDEFCON"/>
            </w:pPr>
            <w:r>
              <w:t>(e)</w:t>
            </w:r>
          </w:p>
        </w:tc>
        <w:tc>
          <w:tcPr>
            <w:tcW w:w="1707" w:type="pct"/>
            <w:shd w:val="pct15" w:color="auto" w:fill="FFFFFF"/>
          </w:tcPr>
          <w:p w14:paraId="70D4A6A1" w14:textId="77777777" w:rsidR="00DC3911" w:rsidRPr="00E06AE2" w:rsidRDefault="00DC3911" w:rsidP="00D6291B">
            <w:pPr>
              <w:pStyle w:val="Table8ptHeading-ASDEFCON"/>
            </w:pPr>
            <w:r w:rsidRPr="00E06AE2">
              <w:t>(</w:t>
            </w:r>
            <w:r>
              <w:t>f</w:t>
            </w:r>
            <w:r w:rsidRPr="00E06AE2">
              <w:t>)</w:t>
            </w:r>
          </w:p>
        </w:tc>
      </w:tr>
      <w:tr w:rsidR="00DC3911" w:rsidRPr="00E06AE2" w14:paraId="22C41CE8" w14:textId="77777777" w:rsidTr="00DC3911">
        <w:tc>
          <w:tcPr>
            <w:tcW w:w="182" w:type="pct"/>
          </w:tcPr>
          <w:p w14:paraId="4B0FB934" w14:textId="77777777" w:rsidR="00DC3911" w:rsidRPr="00E06AE2" w:rsidRDefault="00DC3911" w:rsidP="009855F1">
            <w:pPr>
              <w:pStyle w:val="Table8ptText-ASDEFCON"/>
            </w:pPr>
          </w:p>
        </w:tc>
        <w:tc>
          <w:tcPr>
            <w:tcW w:w="1052" w:type="pct"/>
          </w:tcPr>
          <w:p w14:paraId="3540E831" w14:textId="1BD762E7" w:rsidR="00DC3911" w:rsidRPr="00E06AE2" w:rsidRDefault="00DC3911" w:rsidP="009855F1">
            <w:pPr>
              <w:pStyle w:val="Table8ptText-ASDEFCON"/>
            </w:pPr>
            <w:r>
              <w:t>Effective Date (</w:t>
            </w:r>
            <w:r w:rsidRPr="00E06AE2">
              <w:t>ED</w:t>
            </w:r>
            <w:r>
              <w:t>)</w:t>
            </w:r>
          </w:p>
        </w:tc>
        <w:tc>
          <w:tcPr>
            <w:tcW w:w="471" w:type="pct"/>
          </w:tcPr>
          <w:p w14:paraId="161873A6" w14:textId="77777777" w:rsidR="00DC3911" w:rsidRPr="00E06AE2" w:rsidRDefault="00DC3911" w:rsidP="009855F1">
            <w:pPr>
              <w:pStyle w:val="Table8ptText-ASDEFCON"/>
            </w:pPr>
            <w:r w:rsidRPr="00E06AE2">
              <w:t>0 – complete</w:t>
            </w:r>
          </w:p>
        </w:tc>
        <w:tc>
          <w:tcPr>
            <w:tcW w:w="412" w:type="pct"/>
          </w:tcPr>
          <w:p w14:paraId="43196499" w14:textId="77777777" w:rsidR="00DC3911" w:rsidRPr="00E06AE2" w:rsidRDefault="00DC3911" w:rsidP="009855F1">
            <w:pPr>
              <w:pStyle w:val="Table8ptText-ASDEFCON"/>
            </w:pPr>
          </w:p>
        </w:tc>
        <w:tc>
          <w:tcPr>
            <w:tcW w:w="1177" w:type="pct"/>
          </w:tcPr>
          <w:p w14:paraId="40350B63" w14:textId="77777777" w:rsidR="00DC3911" w:rsidRPr="00E06AE2" w:rsidRDefault="00DC3911" w:rsidP="009855F1">
            <w:pPr>
              <w:pStyle w:val="Table8ptText-ASDEFCON"/>
            </w:pPr>
          </w:p>
        </w:tc>
        <w:tc>
          <w:tcPr>
            <w:tcW w:w="1707" w:type="pct"/>
          </w:tcPr>
          <w:p w14:paraId="134F3342" w14:textId="77777777" w:rsidR="00DC3911" w:rsidRPr="00E65F94" w:rsidRDefault="00DC3911" w:rsidP="009855F1">
            <w:pPr>
              <w:pStyle w:val="Table8ptBP1-ASDEFCON"/>
              <w:rPr>
                <w:i/>
              </w:rPr>
            </w:pPr>
            <w:r w:rsidRPr="00E65F94">
              <w:rPr>
                <w:i/>
              </w:rPr>
              <w:t>Contract signature</w:t>
            </w:r>
          </w:p>
          <w:p w14:paraId="4E02AB95" w14:textId="3F6477C4" w:rsidR="00DC3911" w:rsidRPr="00E65F94" w:rsidRDefault="00DC3911" w:rsidP="00E65F94">
            <w:pPr>
              <w:pStyle w:val="Table8ptBP1-ASDEFCON"/>
              <w:rPr>
                <w:i/>
              </w:rPr>
            </w:pPr>
            <w:r w:rsidRPr="00E65F94">
              <w:rPr>
                <w:i/>
              </w:rPr>
              <w:t>Provision to the Commonwealth of securities and deeds, in accordance with COC clauses 7.</w:t>
            </w:r>
            <w:r>
              <w:rPr>
                <w:i/>
              </w:rPr>
              <w:t>5</w:t>
            </w:r>
            <w:r w:rsidRPr="00E65F94">
              <w:rPr>
                <w:i/>
              </w:rPr>
              <w:t xml:space="preserve"> and 7.</w:t>
            </w:r>
            <w:r>
              <w:rPr>
                <w:i/>
              </w:rPr>
              <w:t>6</w:t>
            </w:r>
          </w:p>
        </w:tc>
      </w:tr>
      <w:tr w:rsidR="00DC3911" w:rsidRPr="00E06AE2" w14:paraId="21CA3778" w14:textId="77777777" w:rsidTr="00DC3911">
        <w:tc>
          <w:tcPr>
            <w:tcW w:w="182" w:type="pct"/>
          </w:tcPr>
          <w:p w14:paraId="5895BA16" w14:textId="77777777" w:rsidR="00DC3911" w:rsidRPr="00E06AE2" w:rsidRDefault="00DC3911" w:rsidP="009855F1">
            <w:pPr>
              <w:pStyle w:val="Table8ptText-ASDEFCON"/>
            </w:pPr>
          </w:p>
        </w:tc>
        <w:tc>
          <w:tcPr>
            <w:tcW w:w="1052" w:type="pct"/>
          </w:tcPr>
          <w:p w14:paraId="0310B49D" w14:textId="0C536BA7" w:rsidR="00DC3911" w:rsidRPr="00E06AE2" w:rsidRDefault="00DC3911" w:rsidP="009855F1">
            <w:pPr>
              <w:pStyle w:val="Table8ptText-ASDEFCON"/>
            </w:pPr>
            <w:r>
              <w:t xml:space="preserve">Operative Date (OD) </w:t>
            </w:r>
          </w:p>
        </w:tc>
        <w:tc>
          <w:tcPr>
            <w:tcW w:w="471" w:type="pct"/>
          </w:tcPr>
          <w:p w14:paraId="32ED9D9D" w14:textId="41097049" w:rsidR="00DC3911" w:rsidRPr="00E06AE2" w:rsidRDefault="00DC3911" w:rsidP="009855F1">
            <w:pPr>
              <w:pStyle w:val="Table8ptText-ASDEFCON"/>
            </w:pPr>
          </w:p>
        </w:tc>
        <w:tc>
          <w:tcPr>
            <w:tcW w:w="412" w:type="pct"/>
          </w:tcPr>
          <w:p w14:paraId="60C45AD0" w14:textId="77777777" w:rsidR="00DC3911" w:rsidRPr="00E06AE2" w:rsidRDefault="00DC3911" w:rsidP="009855F1">
            <w:pPr>
              <w:pStyle w:val="Table8ptText-ASDEFCON"/>
            </w:pPr>
          </w:p>
        </w:tc>
        <w:tc>
          <w:tcPr>
            <w:tcW w:w="1177" w:type="pct"/>
          </w:tcPr>
          <w:p w14:paraId="67DCD90B" w14:textId="7755AA26" w:rsidR="00DC3911" w:rsidRPr="00E06AE2" w:rsidRDefault="00DC3911" w:rsidP="009855F1">
            <w:pPr>
              <w:pStyle w:val="Table8ptText-ASDEFCON"/>
            </w:pPr>
            <w:r>
              <w:t>Refer to clause 1.6 of the COC.</w:t>
            </w:r>
          </w:p>
        </w:tc>
        <w:tc>
          <w:tcPr>
            <w:tcW w:w="1707" w:type="pct"/>
          </w:tcPr>
          <w:p w14:paraId="1E7F6206" w14:textId="6CAB1F38" w:rsidR="00DC3911" w:rsidRPr="00E65F94" w:rsidRDefault="00DC3911" w:rsidP="00E65F94">
            <w:pPr>
              <w:pStyle w:val="Table8ptBP1-ASDEFCON"/>
              <w:rPr>
                <w:i/>
              </w:rPr>
            </w:pPr>
            <w:r w:rsidRPr="00E65F94">
              <w:rPr>
                <w:i/>
              </w:rPr>
              <w:t>Requirements of COC clause 1.6 have been met.</w:t>
            </w:r>
          </w:p>
        </w:tc>
      </w:tr>
      <w:tr w:rsidR="00DC3911" w:rsidRPr="00E06AE2" w14:paraId="548C409E" w14:textId="77777777" w:rsidTr="00DC3911">
        <w:tc>
          <w:tcPr>
            <w:tcW w:w="182" w:type="pct"/>
          </w:tcPr>
          <w:p w14:paraId="65BEBC5A" w14:textId="77777777" w:rsidR="00DC3911" w:rsidRPr="00E06AE2" w:rsidRDefault="00DC3911" w:rsidP="009855F1">
            <w:pPr>
              <w:pStyle w:val="Table8ptText-ASDEFCON"/>
            </w:pPr>
          </w:p>
        </w:tc>
        <w:tc>
          <w:tcPr>
            <w:tcW w:w="1052" w:type="pct"/>
          </w:tcPr>
          <w:p w14:paraId="614CA6A7" w14:textId="7BD99B8E" w:rsidR="00DC3911" w:rsidRPr="00E06AE2" w:rsidRDefault="00DC3911" w:rsidP="009855F1">
            <w:pPr>
              <w:pStyle w:val="Table8ptText-ASDEFCON"/>
            </w:pPr>
            <w:r>
              <w:t>Start X Services (RU#1)</w:t>
            </w:r>
            <w:r>
              <w:br/>
            </w:r>
          </w:p>
        </w:tc>
        <w:tc>
          <w:tcPr>
            <w:tcW w:w="471" w:type="pct"/>
          </w:tcPr>
          <w:p w14:paraId="54A24C54" w14:textId="77777777" w:rsidR="00DC3911" w:rsidRPr="00E06AE2" w:rsidRDefault="00DC3911" w:rsidP="009855F1">
            <w:pPr>
              <w:pStyle w:val="Table8ptText-ASDEFCON"/>
            </w:pPr>
          </w:p>
        </w:tc>
        <w:tc>
          <w:tcPr>
            <w:tcW w:w="412" w:type="pct"/>
          </w:tcPr>
          <w:p w14:paraId="71570F6D" w14:textId="77777777" w:rsidR="00DC3911" w:rsidRPr="00E06AE2" w:rsidRDefault="00DC3911" w:rsidP="009855F1">
            <w:pPr>
              <w:pStyle w:val="Table8ptText-ASDEFCON"/>
            </w:pPr>
          </w:p>
        </w:tc>
        <w:tc>
          <w:tcPr>
            <w:tcW w:w="1177" w:type="pct"/>
          </w:tcPr>
          <w:p w14:paraId="33F7AB6E" w14:textId="77777777" w:rsidR="00DC3911" w:rsidRPr="00E06AE2" w:rsidRDefault="00DC3911" w:rsidP="009855F1">
            <w:pPr>
              <w:pStyle w:val="Table8ptText-ASDEFCON"/>
            </w:pPr>
          </w:p>
        </w:tc>
        <w:tc>
          <w:tcPr>
            <w:tcW w:w="1707" w:type="pct"/>
          </w:tcPr>
          <w:p w14:paraId="1B1D5AF1" w14:textId="66318C4C" w:rsidR="00DC3911" w:rsidRPr="00E65F94" w:rsidRDefault="00DC3911" w:rsidP="00E65F94">
            <w:pPr>
              <w:pStyle w:val="Table8ptBP1-ASDEFCON"/>
              <w:rPr>
                <w:i/>
              </w:rPr>
            </w:pPr>
            <w:r w:rsidRPr="00E65F94">
              <w:rPr>
                <w:i/>
              </w:rPr>
              <w:t>Establishment of M1 maintenance capability and S1 supply capability at GFF#1 in accordance with the Approved Ramp Up Management Plan (RUMP).</w:t>
            </w:r>
          </w:p>
          <w:p w14:paraId="5036A09F" w14:textId="77777777" w:rsidR="00DC3911" w:rsidRPr="00E65F94" w:rsidRDefault="00DC3911" w:rsidP="00E65F94">
            <w:pPr>
              <w:pStyle w:val="Table8ptBP1-ASDEFCON"/>
              <w:rPr>
                <w:i/>
              </w:rPr>
            </w:pPr>
            <w:r w:rsidRPr="00E65F94">
              <w:rPr>
                <w:i/>
              </w:rPr>
              <w:t>Delivery of X Mission Systems and receipt of associated Support Resources by the Contractor from the Contractor (Acquisition).  Refer Contract (Acquisition) SAA checklist.</w:t>
            </w:r>
          </w:p>
          <w:p w14:paraId="5ABCE221" w14:textId="77777777" w:rsidR="00DC3911" w:rsidRPr="00E65F94" w:rsidRDefault="00DC3911" w:rsidP="00E65F94">
            <w:pPr>
              <w:pStyle w:val="Table8ptBP1-ASDEFCON"/>
              <w:rPr>
                <w:i/>
              </w:rPr>
            </w:pPr>
            <w:r w:rsidRPr="00E65F94">
              <w:rPr>
                <w:i/>
              </w:rPr>
              <w:t>Verification of M1 and S1 in accordance with the Approved RUMP.</w:t>
            </w:r>
          </w:p>
          <w:p w14:paraId="3F7864EA" w14:textId="1B3BFB2F" w:rsidR="00DC3911" w:rsidRPr="00E06AE2" w:rsidRDefault="00DC3911" w:rsidP="00E65F94">
            <w:pPr>
              <w:pStyle w:val="Table8ptBP1-ASDEFCON"/>
            </w:pPr>
            <w:r w:rsidRPr="00E65F94">
              <w:rPr>
                <w:i/>
              </w:rPr>
              <w:t>Refer Contract (Acquisition) SAA checklist.</w:t>
            </w:r>
          </w:p>
        </w:tc>
      </w:tr>
      <w:tr w:rsidR="00DC3911" w:rsidRPr="00E06AE2" w14:paraId="106E5EAF" w14:textId="77777777" w:rsidTr="00DC3911">
        <w:tc>
          <w:tcPr>
            <w:tcW w:w="182" w:type="pct"/>
          </w:tcPr>
          <w:p w14:paraId="791C2C47" w14:textId="77777777" w:rsidR="00DC3911" w:rsidRPr="00E06AE2" w:rsidRDefault="00DC3911" w:rsidP="009855F1">
            <w:pPr>
              <w:pStyle w:val="Table8ptText-ASDEFCON"/>
            </w:pPr>
          </w:p>
        </w:tc>
        <w:tc>
          <w:tcPr>
            <w:tcW w:w="1052" w:type="pct"/>
          </w:tcPr>
          <w:p w14:paraId="48DB9A27" w14:textId="15E0273D" w:rsidR="00DC3911" w:rsidRPr="00E06AE2" w:rsidRDefault="00DC3911" w:rsidP="009855F1">
            <w:pPr>
              <w:pStyle w:val="Table8ptText-ASDEFCON"/>
            </w:pPr>
            <w:r>
              <w:t xml:space="preserve">Start Y Services (RU#2) </w:t>
            </w:r>
          </w:p>
        </w:tc>
        <w:tc>
          <w:tcPr>
            <w:tcW w:w="471" w:type="pct"/>
          </w:tcPr>
          <w:p w14:paraId="2BB59579" w14:textId="77777777" w:rsidR="00DC3911" w:rsidRPr="00E06AE2" w:rsidRDefault="00DC3911" w:rsidP="009855F1">
            <w:pPr>
              <w:pStyle w:val="Table8ptText-ASDEFCON"/>
            </w:pPr>
          </w:p>
        </w:tc>
        <w:tc>
          <w:tcPr>
            <w:tcW w:w="412" w:type="pct"/>
          </w:tcPr>
          <w:p w14:paraId="70340B7C" w14:textId="77777777" w:rsidR="00DC3911" w:rsidRPr="00E06AE2" w:rsidRDefault="00DC3911" w:rsidP="009855F1">
            <w:pPr>
              <w:pStyle w:val="Table8ptText-ASDEFCON"/>
            </w:pPr>
          </w:p>
        </w:tc>
        <w:tc>
          <w:tcPr>
            <w:tcW w:w="1177" w:type="pct"/>
          </w:tcPr>
          <w:p w14:paraId="17A98DA9" w14:textId="77777777" w:rsidR="00DC3911" w:rsidRPr="00E06AE2" w:rsidRDefault="00DC3911" w:rsidP="009855F1">
            <w:pPr>
              <w:pStyle w:val="Table8ptText-ASDEFCON"/>
            </w:pPr>
          </w:p>
        </w:tc>
        <w:tc>
          <w:tcPr>
            <w:tcW w:w="1707" w:type="pct"/>
          </w:tcPr>
          <w:p w14:paraId="5EAC3860" w14:textId="77777777" w:rsidR="00DC3911" w:rsidRPr="00E06AE2" w:rsidRDefault="00DC3911" w:rsidP="009855F1">
            <w:pPr>
              <w:pStyle w:val="Table8ptText-ASDEFCON"/>
            </w:pPr>
          </w:p>
        </w:tc>
      </w:tr>
      <w:tr w:rsidR="00DC3911" w:rsidRPr="00E06AE2" w14:paraId="4117EB30" w14:textId="77777777" w:rsidTr="00DC3911">
        <w:tc>
          <w:tcPr>
            <w:tcW w:w="182" w:type="pct"/>
          </w:tcPr>
          <w:p w14:paraId="75330BDB" w14:textId="77777777" w:rsidR="00DC3911" w:rsidRPr="00E06AE2" w:rsidRDefault="00DC3911" w:rsidP="009855F1">
            <w:pPr>
              <w:pStyle w:val="Table8ptText-ASDEFCON"/>
            </w:pPr>
          </w:p>
        </w:tc>
        <w:tc>
          <w:tcPr>
            <w:tcW w:w="1052" w:type="pct"/>
          </w:tcPr>
          <w:p w14:paraId="425AB7CF" w14:textId="77777777" w:rsidR="00DC3911" w:rsidRPr="00E06AE2" w:rsidRDefault="00DC3911" w:rsidP="009855F1">
            <w:pPr>
              <w:pStyle w:val="Table8ptText-ASDEFCON"/>
            </w:pPr>
          </w:p>
        </w:tc>
        <w:tc>
          <w:tcPr>
            <w:tcW w:w="471" w:type="pct"/>
          </w:tcPr>
          <w:p w14:paraId="2D4A65BB" w14:textId="77777777" w:rsidR="00DC3911" w:rsidRPr="00E06AE2" w:rsidRDefault="00DC3911" w:rsidP="009855F1">
            <w:pPr>
              <w:pStyle w:val="Table8ptText-ASDEFCON"/>
            </w:pPr>
          </w:p>
        </w:tc>
        <w:tc>
          <w:tcPr>
            <w:tcW w:w="412" w:type="pct"/>
          </w:tcPr>
          <w:p w14:paraId="1A2D6F22" w14:textId="77777777" w:rsidR="00DC3911" w:rsidRPr="00E06AE2" w:rsidRDefault="00DC3911" w:rsidP="009855F1">
            <w:pPr>
              <w:pStyle w:val="Table8ptText-ASDEFCON"/>
            </w:pPr>
          </w:p>
        </w:tc>
        <w:tc>
          <w:tcPr>
            <w:tcW w:w="1177" w:type="pct"/>
          </w:tcPr>
          <w:p w14:paraId="5C0D27AB" w14:textId="77777777" w:rsidR="00DC3911" w:rsidRPr="00E06AE2" w:rsidRDefault="00DC3911" w:rsidP="009855F1">
            <w:pPr>
              <w:pStyle w:val="Table8ptText-ASDEFCON"/>
            </w:pPr>
          </w:p>
        </w:tc>
        <w:tc>
          <w:tcPr>
            <w:tcW w:w="1707" w:type="pct"/>
          </w:tcPr>
          <w:p w14:paraId="7FB7AD6C" w14:textId="77777777" w:rsidR="00DC3911" w:rsidRPr="00E06AE2" w:rsidRDefault="00DC3911" w:rsidP="009855F1">
            <w:pPr>
              <w:pStyle w:val="Table8ptText-ASDEFCON"/>
            </w:pPr>
          </w:p>
        </w:tc>
      </w:tr>
      <w:tr w:rsidR="00DC3911" w:rsidRPr="00E06AE2" w14:paraId="329E360C" w14:textId="77777777" w:rsidTr="00DC3911">
        <w:tc>
          <w:tcPr>
            <w:tcW w:w="182" w:type="pct"/>
          </w:tcPr>
          <w:p w14:paraId="4DA6701F" w14:textId="77777777" w:rsidR="00DC3911" w:rsidRPr="00E06AE2" w:rsidRDefault="00DC3911" w:rsidP="009855F1">
            <w:pPr>
              <w:pStyle w:val="Table8ptText-ASDEFCON"/>
            </w:pPr>
          </w:p>
        </w:tc>
        <w:tc>
          <w:tcPr>
            <w:tcW w:w="1052" w:type="pct"/>
          </w:tcPr>
          <w:p w14:paraId="05282D62" w14:textId="77777777" w:rsidR="00DC3911" w:rsidRPr="00E06AE2" w:rsidRDefault="00DC3911" w:rsidP="009855F1">
            <w:pPr>
              <w:pStyle w:val="Table8ptText-ASDEFCON"/>
            </w:pPr>
          </w:p>
        </w:tc>
        <w:tc>
          <w:tcPr>
            <w:tcW w:w="471" w:type="pct"/>
          </w:tcPr>
          <w:p w14:paraId="7161AD17" w14:textId="77777777" w:rsidR="00DC3911" w:rsidRPr="00E06AE2" w:rsidRDefault="00DC3911" w:rsidP="009855F1">
            <w:pPr>
              <w:pStyle w:val="Table8ptText-ASDEFCON"/>
            </w:pPr>
          </w:p>
        </w:tc>
        <w:tc>
          <w:tcPr>
            <w:tcW w:w="412" w:type="pct"/>
          </w:tcPr>
          <w:p w14:paraId="4B3A36CD" w14:textId="77777777" w:rsidR="00DC3911" w:rsidRPr="00E06AE2" w:rsidRDefault="00DC3911" w:rsidP="009855F1">
            <w:pPr>
              <w:pStyle w:val="Table8ptText-ASDEFCON"/>
            </w:pPr>
          </w:p>
        </w:tc>
        <w:tc>
          <w:tcPr>
            <w:tcW w:w="1177" w:type="pct"/>
          </w:tcPr>
          <w:p w14:paraId="13554299" w14:textId="77777777" w:rsidR="00DC3911" w:rsidRPr="00E06AE2" w:rsidRDefault="00DC3911" w:rsidP="009855F1">
            <w:pPr>
              <w:pStyle w:val="Table8ptText-ASDEFCON"/>
            </w:pPr>
          </w:p>
        </w:tc>
        <w:tc>
          <w:tcPr>
            <w:tcW w:w="1707" w:type="pct"/>
          </w:tcPr>
          <w:p w14:paraId="48E89F2E" w14:textId="77777777" w:rsidR="00DC3911" w:rsidRPr="00E06AE2" w:rsidRDefault="00DC3911" w:rsidP="009855F1">
            <w:pPr>
              <w:pStyle w:val="Table8ptText-ASDEFCON"/>
            </w:pPr>
          </w:p>
        </w:tc>
      </w:tr>
    </w:tbl>
    <w:p w14:paraId="7A8C344F" w14:textId="77777777" w:rsidR="009C3FD3" w:rsidRDefault="009C3FD3" w:rsidP="00C259AF">
      <w:pPr>
        <w:pStyle w:val="ASDEFCONOptionSpace"/>
      </w:pPr>
    </w:p>
    <w:p w14:paraId="1EDB11D4" w14:textId="5436D017" w:rsidR="007A3606" w:rsidRPr="001C333C" w:rsidRDefault="007A3606" w:rsidP="00CF32AF">
      <w:pPr>
        <w:pStyle w:val="NoteList-ASDEFCON"/>
        <w:numPr>
          <w:ilvl w:val="0"/>
          <w:numId w:val="0"/>
        </w:numPr>
        <w:ind w:left="851"/>
      </w:pPr>
    </w:p>
    <w:sectPr w:rsidR="007A3606" w:rsidRPr="001C333C" w:rsidSect="00E35A01">
      <w:headerReference w:type="default" r:id="rId15"/>
      <w:footerReference w:type="default" r:id="rId16"/>
      <w:pgSz w:w="16840" w:h="11907" w:orient="landscape" w:code="9"/>
      <w:pgMar w:top="1418" w:right="1304" w:bottom="1418" w:left="907" w:header="567" w:footer="567" w:gutter="0"/>
      <w:paperSrc w:first="257" w:other="257"/>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A940" w16cex:dateUtc="2023-06-25T01:53:00Z"/>
  <w16cex:commentExtensible w16cex:durableId="2842AC01" w16cex:dateUtc="2023-06-25T02:05:00Z"/>
  <w16cex:commentExtensible w16cex:durableId="2842B165" w16cex:dateUtc="2023-06-25T02:28:00Z"/>
  <w16cex:commentExtensible w16cex:durableId="2842B146" w16cex:dateUtc="2023-06-25T0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3E12E2" w16cid:durableId="2842A940"/>
  <w16cid:commentId w16cid:paraId="31238465" w16cid:durableId="2842AC01"/>
  <w16cid:commentId w16cid:paraId="5CCF73E8" w16cid:durableId="2842B165"/>
  <w16cid:commentId w16cid:paraId="448DB44B" w16cid:durableId="2842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3DED0" w14:textId="77777777" w:rsidR="00BA0926" w:rsidRDefault="00BA0926">
      <w:r>
        <w:separator/>
      </w:r>
    </w:p>
  </w:endnote>
  <w:endnote w:type="continuationSeparator" w:id="0">
    <w:p w14:paraId="42BEFC8B" w14:textId="77777777" w:rsidR="00BA0926" w:rsidRDefault="00BA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CD80" w14:textId="77777777" w:rsidR="001A0EE0" w:rsidRDefault="001A0EE0" w:rsidP="001A0EE0">
    <w:pPr>
      <w:pStyle w:val="Footer"/>
      <w:tabs>
        <w:tab w:val="clear" w:pos="9090"/>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35A01" w14:paraId="6C01672A" w14:textId="77777777" w:rsidTr="00D6291B">
      <w:tc>
        <w:tcPr>
          <w:tcW w:w="2500" w:type="pct"/>
        </w:tcPr>
        <w:p w14:paraId="398EC5C9" w14:textId="2139A6E0" w:rsidR="00E35A01" w:rsidRDefault="00E61A6A" w:rsidP="00E35A01">
          <w:pPr>
            <w:pStyle w:val="ASDEFCONHeaderFooterLeft"/>
          </w:pPr>
          <w:r>
            <w:fldChar w:fldCharType="begin"/>
          </w:r>
          <w:r>
            <w:instrText xml:space="preserve"> DOCPROPERTY Footer_Left </w:instrText>
          </w:r>
          <w:r>
            <w:fldChar w:fldCharType="separate"/>
          </w:r>
          <w:r>
            <w:t>Annex to Draft Conditions of Contract</w:t>
          </w:r>
          <w:r>
            <w:fldChar w:fldCharType="end"/>
          </w:r>
          <w:r w:rsidR="00E35A01">
            <w:t xml:space="preserve"> (</w:t>
          </w:r>
          <w:r>
            <w:fldChar w:fldCharType="begin"/>
          </w:r>
          <w:r>
            <w:instrText xml:space="preserve"> DOCPROPERTY Version </w:instrText>
          </w:r>
          <w:r>
            <w:fldChar w:fldCharType="separate"/>
          </w:r>
          <w:r>
            <w:t>V1.1</w:t>
          </w:r>
          <w:r>
            <w:fldChar w:fldCharType="end"/>
          </w:r>
          <w:r w:rsidR="00E35A01">
            <w:t>)</w:t>
          </w:r>
        </w:p>
      </w:tc>
      <w:tc>
        <w:tcPr>
          <w:tcW w:w="2500" w:type="pct"/>
        </w:tcPr>
        <w:p w14:paraId="35467BA0" w14:textId="67CCD51E" w:rsidR="00E35A01" w:rsidRPr="009E5FC9" w:rsidRDefault="00253838" w:rsidP="00E35A01">
          <w:pPr>
            <w:pStyle w:val="ASDEFCONHeaderFooterRight"/>
            <w:rPr>
              <w:sz w:val="18"/>
              <w:szCs w:val="18"/>
            </w:rPr>
          </w:pPr>
          <w:r>
            <w:rPr>
              <w:sz w:val="18"/>
              <w:szCs w:val="18"/>
            </w:rPr>
            <w:t>BB</w:t>
          </w:r>
          <w:r w:rsidR="00E35A01" w:rsidRPr="009E5FC9">
            <w:rPr>
              <w:sz w:val="18"/>
              <w:szCs w:val="18"/>
            </w:rPr>
            <w:t>-</w:t>
          </w:r>
          <w:r w:rsidR="00E35A01" w:rsidRPr="009E5FC9">
            <w:rPr>
              <w:rStyle w:val="PageNumber"/>
              <w:color w:val="auto"/>
              <w:sz w:val="18"/>
              <w:szCs w:val="18"/>
            </w:rPr>
            <w:fldChar w:fldCharType="begin"/>
          </w:r>
          <w:r w:rsidR="00E35A01" w:rsidRPr="009E5FC9">
            <w:rPr>
              <w:rStyle w:val="PageNumber"/>
              <w:color w:val="auto"/>
              <w:sz w:val="18"/>
              <w:szCs w:val="18"/>
            </w:rPr>
            <w:instrText xml:space="preserve"> PAGE </w:instrText>
          </w:r>
          <w:r w:rsidR="00E35A01" w:rsidRPr="009E5FC9">
            <w:rPr>
              <w:rStyle w:val="PageNumber"/>
              <w:color w:val="auto"/>
              <w:sz w:val="18"/>
              <w:szCs w:val="18"/>
            </w:rPr>
            <w:fldChar w:fldCharType="separate"/>
          </w:r>
          <w:r w:rsidR="00E61A6A">
            <w:rPr>
              <w:rStyle w:val="PageNumber"/>
              <w:noProof/>
              <w:color w:val="auto"/>
              <w:sz w:val="18"/>
              <w:szCs w:val="18"/>
            </w:rPr>
            <w:t>1</w:t>
          </w:r>
          <w:r w:rsidR="00E35A01" w:rsidRPr="009E5FC9">
            <w:rPr>
              <w:rStyle w:val="PageNumber"/>
              <w:color w:val="auto"/>
              <w:sz w:val="18"/>
              <w:szCs w:val="18"/>
            </w:rPr>
            <w:fldChar w:fldCharType="end"/>
          </w:r>
        </w:p>
      </w:tc>
    </w:tr>
    <w:tr w:rsidR="00E35A01" w14:paraId="79F24671" w14:textId="77777777" w:rsidTr="00D6291B">
      <w:tc>
        <w:tcPr>
          <w:tcW w:w="5000" w:type="pct"/>
          <w:gridSpan w:val="2"/>
        </w:tcPr>
        <w:p w14:paraId="0CDF9F63" w14:textId="598C651A" w:rsidR="00E35A01" w:rsidRDefault="00E61A6A" w:rsidP="00E35A01">
          <w:pPr>
            <w:pStyle w:val="ASDEFCONHeaderFooterClassification"/>
          </w:pPr>
          <w:r>
            <w:fldChar w:fldCharType="begin"/>
          </w:r>
          <w:r>
            <w:instrText xml:space="preserve"> DOCPROPERTY Classification </w:instrText>
          </w:r>
          <w:r>
            <w:fldChar w:fldCharType="separate"/>
          </w:r>
          <w:r>
            <w:t>OFFICIAL</w:t>
          </w:r>
          <w:r>
            <w:fldChar w:fldCharType="end"/>
          </w:r>
        </w:p>
      </w:tc>
    </w:tr>
  </w:tbl>
  <w:p w14:paraId="5E856711" w14:textId="77777777" w:rsidR="000F7DB8" w:rsidRPr="000F7DB8" w:rsidRDefault="000F7DB8" w:rsidP="00E35A01">
    <w:pPr>
      <w:pStyle w:val="ASDEFCONNormal"/>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CD486" w14:textId="77777777" w:rsidR="009E0023" w:rsidRDefault="009E00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E35A01" w14:paraId="4C926591" w14:textId="77777777" w:rsidTr="00D6291B">
      <w:tc>
        <w:tcPr>
          <w:tcW w:w="2500" w:type="pct"/>
        </w:tcPr>
        <w:p w14:paraId="4B3EBC3A" w14:textId="113971EE" w:rsidR="00E35A01" w:rsidRDefault="00E61A6A">
          <w:pPr>
            <w:pStyle w:val="ASDEFCONHeaderFooterLeft"/>
          </w:pPr>
          <w:r>
            <w:fldChar w:fldCharType="begin"/>
          </w:r>
          <w:r>
            <w:instrText xml:space="preserve"> DOCPROPERTY Footer_Left </w:instrText>
          </w:r>
          <w:r>
            <w:fldChar w:fldCharType="separate"/>
          </w:r>
          <w:r>
            <w:t>Annex to Draft Conditions of Contract</w:t>
          </w:r>
          <w:r>
            <w:fldChar w:fldCharType="end"/>
          </w:r>
          <w:r w:rsidR="00E35A01">
            <w:t xml:space="preserve"> </w:t>
          </w:r>
          <w:r w:rsidR="004C5CAF">
            <w:rPr>
              <w:rStyle w:val="PageNumber"/>
            </w:rPr>
            <w:t>(</w:t>
          </w:r>
          <w:r w:rsidR="004C5CAF">
            <w:rPr>
              <w:rStyle w:val="PageNumber"/>
            </w:rPr>
            <w:fldChar w:fldCharType="begin"/>
          </w:r>
          <w:r w:rsidR="004C5CAF">
            <w:rPr>
              <w:rStyle w:val="PageNumber"/>
            </w:rPr>
            <w:instrText xml:space="preserve"> DOCPROPERTY Version </w:instrText>
          </w:r>
          <w:r w:rsidR="004C5CAF">
            <w:rPr>
              <w:rStyle w:val="PageNumber"/>
            </w:rPr>
            <w:fldChar w:fldCharType="separate"/>
          </w:r>
          <w:r>
            <w:rPr>
              <w:rStyle w:val="PageNumber"/>
            </w:rPr>
            <w:t>V1.1</w:t>
          </w:r>
          <w:r w:rsidR="004C5CAF">
            <w:rPr>
              <w:rStyle w:val="PageNumber"/>
            </w:rPr>
            <w:fldChar w:fldCharType="end"/>
          </w:r>
          <w:r w:rsidR="004C5CAF">
            <w:rPr>
              <w:rStyle w:val="PageNumber"/>
            </w:rPr>
            <w:t>)</w:t>
          </w:r>
        </w:p>
      </w:tc>
      <w:tc>
        <w:tcPr>
          <w:tcW w:w="2500" w:type="pct"/>
        </w:tcPr>
        <w:p w14:paraId="40C7D064" w14:textId="7C0F484E" w:rsidR="00E35A01" w:rsidRPr="009E5FC9" w:rsidRDefault="004C5CAF" w:rsidP="00E35A01">
          <w:pPr>
            <w:pStyle w:val="ASDEFCONHeaderFooterRight"/>
            <w:rPr>
              <w:sz w:val="18"/>
              <w:szCs w:val="18"/>
            </w:rPr>
          </w:pPr>
          <w:r>
            <w:rPr>
              <w:sz w:val="18"/>
              <w:szCs w:val="18"/>
            </w:rPr>
            <w:t>BB</w:t>
          </w:r>
          <w:r w:rsidR="00E35A01" w:rsidRPr="009E5FC9">
            <w:rPr>
              <w:sz w:val="18"/>
              <w:szCs w:val="18"/>
            </w:rPr>
            <w:t>-</w:t>
          </w:r>
          <w:r w:rsidR="00E35A01" w:rsidRPr="009E5FC9">
            <w:rPr>
              <w:rStyle w:val="PageNumber"/>
              <w:color w:val="auto"/>
              <w:sz w:val="18"/>
              <w:szCs w:val="18"/>
            </w:rPr>
            <w:fldChar w:fldCharType="begin"/>
          </w:r>
          <w:r w:rsidR="00E35A01" w:rsidRPr="009E5FC9">
            <w:rPr>
              <w:rStyle w:val="PageNumber"/>
              <w:color w:val="auto"/>
              <w:sz w:val="18"/>
              <w:szCs w:val="18"/>
            </w:rPr>
            <w:instrText xml:space="preserve"> PAGE </w:instrText>
          </w:r>
          <w:r w:rsidR="00E35A01" w:rsidRPr="009E5FC9">
            <w:rPr>
              <w:rStyle w:val="PageNumber"/>
              <w:color w:val="auto"/>
              <w:sz w:val="18"/>
              <w:szCs w:val="18"/>
            </w:rPr>
            <w:fldChar w:fldCharType="separate"/>
          </w:r>
          <w:r w:rsidR="00E61A6A">
            <w:rPr>
              <w:rStyle w:val="PageNumber"/>
              <w:noProof/>
              <w:color w:val="auto"/>
              <w:sz w:val="18"/>
              <w:szCs w:val="18"/>
            </w:rPr>
            <w:t>2</w:t>
          </w:r>
          <w:r w:rsidR="00E35A01" w:rsidRPr="009E5FC9">
            <w:rPr>
              <w:rStyle w:val="PageNumber"/>
              <w:color w:val="auto"/>
              <w:sz w:val="18"/>
              <w:szCs w:val="18"/>
            </w:rPr>
            <w:fldChar w:fldCharType="end"/>
          </w:r>
        </w:p>
      </w:tc>
    </w:tr>
    <w:tr w:rsidR="00E35A01" w14:paraId="29163483" w14:textId="77777777" w:rsidTr="00D6291B">
      <w:tc>
        <w:tcPr>
          <w:tcW w:w="5000" w:type="pct"/>
          <w:gridSpan w:val="2"/>
        </w:tcPr>
        <w:p w14:paraId="274F5254" w14:textId="533CBC7B" w:rsidR="00E35A01" w:rsidRDefault="00E61A6A" w:rsidP="00E35A01">
          <w:pPr>
            <w:pStyle w:val="ASDEFCONHeaderFooterClassification"/>
          </w:pPr>
          <w:r>
            <w:fldChar w:fldCharType="begin"/>
          </w:r>
          <w:r>
            <w:instrText xml:space="preserve"> DOCPROPERTY Classification </w:instrText>
          </w:r>
          <w:r>
            <w:fldChar w:fldCharType="separate"/>
          </w:r>
          <w:r>
            <w:t>OFFICIAL</w:t>
          </w:r>
          <w:r>
            <w:fldChar w:fldCharType="end"/>
          </w:r>
        </w:p>
      </w:tc>
    </w:tr>
  </w:tbl>
  <w:p w14:paraId="53E950D1" w14:textId="77777777" w:rsidR="00E35A01" w:rsidRPr="000F7DB8" w:rsidRDefault="00E35A01" w:rsidP="001A0EE0">
    <w:pPr>
      <w:pStyle w:val="ASDEFCONNormal"/>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90880" w14:textId="77777777" w:rsidR="00BA0926" w:rsidRDefault="00BA0926">
      <w:r>
        <w:separator/>
      </w:r>
    </w:p>
  </w:footnote>
  <w:footnote w:type="continuationSeparator" w:id="0">
    <w:p w14:paraId="68700F6A" w14:textId="77777777" w:rsidR="00BA0926" w:rsidRDefault="00BA0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D323D" w14:textId="77777777" w:rsidR="009E0023" w:rsidRDefault="009E00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53838" w14:paraId="3EBDFE77" w14:textId="77777777" w:rsidTr="007A3606">
      <w:tc>
        <w:tcPr>
          <w:tcW w:w="5000" w:type="pct"/>
          <w:gridSpan w:val="2"/>
        </w:tcPr>
        <w:p w14:paraId="7013B2C4" w14:textId="3F93C499" w:rsidR="00253838" w:rsidRDefault="00E61A6A" w:rsidP="007A3606">
          <w:pPr>
            <w:pStyle w:val="ASDEFCONHeaderFooterClassification"/>
          </w:pPr>
          <w:r>
            <w:fldChar w:fldCharType="begin"/>
          </w:r>
          <w:r>
            <w:instrText xml:space="preserve"> DOCPROPERTY Classification </w:instrText>
          </w:r>
          <w:r>
            <w:fldChar w:fldCharType="separate"/>
          </w:r>
          <w:r>
            <w:t>OFFICIAL</w:t>
          </w:r>
          <w:r>
            <w:fldChar w:fldCharType="end"/>
          </w:r>
        </w:p>
      </w:tc>
    </w:tr>
    <w:tr w:rsidR="00253838" w14:paraId="34B556EB" w14:textId="77777777" w:rsidTr="007A3606">
      <w:tc>
        <w:tcPr>
          <w:tcW w:w="2500" w:type="pct"/>
        </w:tcPr>
        <w:p w14:paraId="19D7FF6A" w14:textId="03FABFF2" w:rsidR="00253838" w:rsidRDefault="00E61A6A" w:rsidP="007A3606">
          <w:pPr>
            <w:pStyle w:val="ASDEFCONHeaderFooterLeft"/>
          </w:pPr>
          <w:r>
            <w:fldChar w:fldCharType="begin"/>
          </w:r>
          <w:r>
            <w:instrText xml:space="preserve"> DOCPROPERTY Header_Left </w:instrText>
          </w:r>
          <w:r>
            <w:fldChar w:fldCharType="separate"/>
          </w:r>
          <w:r>
            <w:t>ASDEFCON (Complex Services)</w:t>
          </w:r>
          <w:r>
            <w:fldChar w:fldCharType="end"/>
          </w:r>
        </w:p>
      </w:tc>
      <w:tc>
        <w:tcPr>
          <w:tcW w:w="2500" w:type="pct"/>
        </w:tcPr>
        <w:p w14:paraId="0E6E335E" w14:textId="0238AB92" w:rsidR="00253838" w:rsidRDefault="00E61A6A" w:rsidP="007A3606">
          <w:pPr>
            <w:pStyle w:val="ASDEFCONHeaderFooterRight"/>
          </w:pPr>
          <w:r>
            <w:fldChar w:fldCharType="begin"/>
          </w:r>
          <w:r>
            <w:instrText xml:space="preserve"> DOCPROPERTY Header_Right </w:instrText>
          </w:r>
          <w:r>
            <w:fldChar w:fldCharType="separate"/>
          </w:r>
          <w:r>
            <w:t>PART 2</w:t>
          </w:r>
          <w:r>
            <w:fldChar w:fldCharType="end"/>
          </w:r>
        </w:p>
      </w:tc>
    </w:tr>
  </w:tbl>
  <w:p w14:paraId="1A65102E" w14:textId="4C866711" w:rsidR="004C5CAF" w:rsidRPr="001C333C" w:rsidRDefault="004C5CAF" w:rsidP="00970635">
    <w:pPr>
      <w:pStyle w:val="ASDEFCONHeaderFooterClassification"/>
      <w:tabs>
        <w:tab w:val="right" w:pos="9072"/>
      </w:tabs>
    </w:pPr>
    <w:r>
      <w:t>annex b to 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34C1C" w14:textId="77777777" w:rsidR="009E0023" w:rsidRDefault="009E00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253838" w14:paraId="54A13400" w14:textId="77777777" w:rsidTr="007A3606">
      <w:tc>
        <w:tcPr>
          <w:tcW w:w="5000" w:type="pct"/>
          <w:gridSpan w:val="2"/>
        </w:tcPr>
        <w:p w14:paraId="6802F5EB" w14:textId="004BC5A6" w:rsidR="00253838" w:rsidRDefault="00E61A6A" w:rsidP="007A3606">
          <w:pPr>
            <w:pStyle w:val="ASDEFCONHeaderFooterClassification"/>
          </w:pPr>
          <w:r>
            <w:fldChar w:fldCharType="begin"/>
          </w:r>
          <w:r>
            <w:instrText xml:space="preserve"> DOCPROPERTY Classification </w:instrText>
          </w:r>
          <w:r>
            <w:fldChar w:fldCharType="separate"/>
          </w:r>
          <w:r>
            <w:t>OFFICIAL</w:t>
          </w:r>
          <w:r>
            <w:fldChar w:fldCharType="end"/>
          </w:r>
        </w:p>
      </w:tc>
    </w:tr>
    <w:tr w:rsidR="00253838" w14:paraId="2D80121B" w14:textId="77777777" w:rsidTr="007A3606">
      <w:tc>
        <w:tcPr>
          <w:tcW w:w="2500" w:type="pct"/>
        </w:tcPr>
        <w:p w14:paraId="4754D8F7" w14:textId="3318F841" w:rsidR="00253838" w:rsidRDefault="00E61A6A" w:rsidP="007A3606">
          <w:pPr>
            <w:pStyle w:val="ASDEFCONHeaderFooterLeft"/>
          </w:pPr>
          <w:r>
            <w:fldChar w:fldCharType="begin"/>
          </w:r>
          <w:r>
            <w:instrText xml:space="preserve"> DOCPROPERTY Header_Left </w:instrText>
          </w:r>
          <w:r>
            <w:fldChar w:fldCharType="separate"/>
          </w:r>
          <w:r>
            <w:t>ASDEFCON (Complex Services)</w:t>
          </w:r>
          <w:r>
            <w:fldChar w:fldCharType="end"/>
          </w:r>
        </w:p>
      </w:tc>
      <w:tc>
        <w:tcPr>
          <w:tcW w:w="2500" w:type="pct"/>
        </w:tcPr>
        <w:p w14:paraId="1D1443F7" w14:textId="5E81B413" w:rsidR="00253838" w:rsidRDefault="00E61A6A" w:rsidP="007A3606">
          <w:pPr>
            <w:pStyle w:val="ASDEFCONHeaderFooterRight"/>
          </w:pPr>
          <w:r>
            <w:fldChar w:fldCharType="begin"/>
          </w:r>
          <w:r>
            <w:instrText xml:space="preserve"> DOCPROPERTY Header_Right </w:instrText>
          </w:r>
          <w:r>
            <w:fldChar w:fldCharType="separate"/>
          </w:r>
          <w:r>
            <w:t>PART 2</w:t>
          </w:r>
          <w:r>
            <w:fldChar w:fldCharType="end"/>
          </w:r>
        </w:p>
      </w:tc>
    </w:tr>
  </w:tbl>
  <w:p w14:paraId="22B557CE" w14:textId="03F6BCBB" w:rsidR="00253838" w:rsidRPr="001C333C" w:rsidRDefault="00253838" w:rsidP="00970635">
    <w:pPr>
      <w:pStyle w:val="ASDEFCONHeaderFooterClassification"/>
      <w:tabs>
        <w:tab w:val="right" w:pos="9072"/>
      </w:tabs>
    </w:pPr>
    <w:r>
      <w:t>annex b to attachment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4"/>
  </w:num>
  <w:num w:numId="4">
    <w:abstractNumId w:val="30"/>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num>
  <w:num w:numId="8">
    <w:abstractNumId w:val="32"/>
  </w:num>
  <w:num w:numId="9">
    <w:abstractNumId w:val="19"/>
  </w:num>
  <w:num w:numId="10">
    <w:abstractNumId w:val="25"/>
  </w:num>
  <w:num w:numId="11">
    <w:abstractNumId w:val="36"/>
  </w:num>
  <w:num w:numId="12">
    <w:abstractNumId w:val="13"/>
  </w:num>
  <w:num w:numId="13">
    <w:abstractNumId w:val="16"/>
  </w:num>
  <w:num w:numId="14">
    <w:abstractNumId w:val="38"/>
  </w:num>
  <w:num w:numId="15">
    <w:abstractNumId w:val="9"/>
  </w:num>
  <w:num w:numId="16">
    <w:abstractNumId w:val="7"/>
  </w:num>
  <w:num w:numId="17">
    <w:abstractNumId w:val="1"/>
  </w:num>
  <w:num w:numId="18">
    <w:abstractNumId w:val="4"/>
  </w:num>
  <w:num w:numId="19">
    <w:abstractNumId w:val="15"/>
  </w:num>
  <w:num w:numId="20">
    <w:abstractNumId w:val="0"/>
  </w:num>
  <w:num w:numId="21">
    <w:abstractNumId w:val="21"/>
  </w:num>
  <w:num w:numId="22">
    <w:abstractNumId w:val="34"/>
  </w:num>
  <w:num w:numId="23">
    <w:abstractNumId w:val="31"/>
  </w:num>
  <w:num w:numId="24">
    <w:abstractNumId w:val="17"/>
  </w:num>
  <w:num w:numId="25">
    <w:abstractNumId w:val="35"/>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5"/>
  </w:num>
  <w:num w:numId="30">
    <w:abstractNumId w:val="37"/>
  </w:num>
  <w:num w:numId="31">
    <w:abstractNumId w:val="14"/>
  </w:num>
  <w:num w:numId="32">
    <w:abstractNumId w:val="23"/>
  </w:num>
  <w:num w:numId="33">
    <w:abstractNumId w:val="8"/>
  </w:num>
  <w:num w:numId="34">
    <w:abstractNumId w:val="2"/>
  </w:num>
  <w:num w:numId="35">
    <w:abstractNumId w:val="27"/>
  </w:num>
  <w:num w:numId="36">
    <w:abstractNumId w:val="29"/>
  </w:num>
  <w:num w:numId="37">
    <w:abstractNumId w:val="11"/>
  </w:num>
  <w:num w:numId="38">
    <w:abstractNumId w:val="3"/>
  </w:num>
  <w:num w:numId="39">
    <w:abstractNumId w:val="20"/>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7"/>
    <w:lvlOverride w:ilvl="0">
      <w:startOverride w:val="1"/>
    </w:lvlOverride>
  </w:num>
  <w:num w:numId="43">
    <w:abstractNumId w:val="12"/>
    <w:lvlOverride w:ilvl="0">
      <w:startOverride w:val="1"/>
    </w:lvlOverride>
  </w:num>
  <w:num w:numId="44">
    <w:abstractNumId w:val="13"/>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3"/>
  </w:num>
  <w:num w:numId="48">
    <w:abstractNumId w:val="13"/>
  </w:num>
  <w:num w:numId="49">
    <w:abstractNumId w:val="13"/>
  </w:num>
  <w:num w:numId="50">
    <w:abstractNumId w:val="13"/>
  </w:num>
  <w:num w:numId="51">
    <w:abstractNumId w:val="13"/>
  </w:num>
  <w:num w:numId="52">
    <w:abstractNumId w:val="13"/>
  </w:num>
  <w:num w:numId="53">
    <w:abstractNumId w:val="13"/>
  </w:num>
  <w:num w:numId="54">
    <w:abstractNumId w:val="13"/>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num>
  <w:num w:numId="60">
    <w:abstractNumId w:val="12"/>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num>
  <w:num w:numId="63">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00.2"/>
  </w:docVars>
  <w:rsids>
    <w:rsidRoot w:val="001C333C"/>
    <w:rsid w:val="00000FCF"/>
    <w:rsid w:val="0001323E"/>
    <w:rsid w:val="00024896"/>
    <w:rsid w:val="000278E7"/>
    <w:rsid w:val="00030170"/>
    <w:rsid w:val="000370C7"/>
    <w:rsid w:val="00051134"/>
    <w:rsid w:val="000569BE"/>
    <w:rsid w:val="0005730F"/>
    <w:rsid w:val="000659A5"/>
    <w:rsid w:val="00075FD3"/>
    <w:rsid w:val="000A4C27"/>
    <w:rsid w:val="000D3676"/>
    <w:rsid w:val="000E3D10"/>
    <w:rsid w:val="000F31A9"/>
    <w:rsid w:val="000F77AB"/>
    <w:rsid w:val="000F7DB8"/>
    <w:rsid w:val="00116C1E"/>
    <w:rsid w:val="00144470"/>
    <w:rsid w:val="001511A1"/>
    <w:rsid w:val="00172507"/>
    <w:rsid w:val="001A0EE0"/>
    <w:rsid w:val="001B1E15"/>
    <w:rsid w:val="001B70FA"/>
    <w:rsid w:val="001C2829"/>
    <w:rsid w:val="001C333C"/>
    <w:rsid w:val="001D7806"/>
    <w:rsid w:val="001E6A8A"/>
    <w:rsid w:val="001F32CA"/>
    <w:rsid w:val="002318D7"/>
    <w:rsid w:val="0024149A"/>
    <w:rsid w:val="00253838"/>
    <w:rsid w:val="00254126"/>
    <w:rsid w:val="002568A9"/>
    <w:rsid w:val="00267D8B"/>
    <w:rsid w:val="00275C4E"/>
    <w:rsid w:val="002D5F7E"/>
    <w:rsid w:val="002E2747"/>
    <w:rsid w:val="002F1EA3"/>
    <w:rsid w:val="00305417"/>
    <w:rsid w:val="00334302"/>
    <w:rsid w:val="00355C4B"/>
    <w:rsid w:val="00360A79"/>
    <w:rsid w:val="003729BF"/>
    <w:rsid w:val="003832D7"/>
    <w:rsid w:val="003B0FC7"/>
    <w:rsid w:val="003C2F79"/>
    <w:rsid w:val="003D30A5"/>
    <w:rsid w:val="003E681B"/>
    <w:rsid w:val="00412CB5"/>
    <w:rsid w:val="0042249F"/>
    <w:rsid w:val="00422B20"/>
    <w:rsid w:val="0045371D"/>
    <w:rsid w:val="00467508"/>
    <w:rsid w:val="004A4992"/>
    <w:rsid w:val="004C5CAF"/>
    <w:rsid w:val="004C705E"/>
    <w:rsid w:val="004D2654"/>
    <w:rsid w:val="004E0938"/>
    <w:rsid w:val="004E14D3"/>
    <w:rsid w:val="004F13AF"/>
    <w:rsid w:val="00506A87"/>
    <w:rsid w:val="0050714E"/>
    <w:rsid w:val="005278D6"/>
    <w:rsid w:val="00532086"/>
    <w:rsid w:val="00536BF7"/>
    <w:rsid w:val="00567E9C"/>
    <w:rsid w:val="00575570"/>
    <w:rsid w:val="00577503"/>
    <w:rsid w:val="00590B18"/>
    <w:rsid w:val="00592582"/>
    <w:rsid w:val="00593C99"/>
    <w:rsid w:val="005A27D7"/>
    <w:rsid w:val="005A67B4"/>
    <w:rsid w:val="005C3E74"/>
    <w:rsid w:val="005D2393"/>
    <w:rsid w:val="005E5747"/>
    <w:rsid w:val="005F43FB"/>
    <w:rsid w:val="0060272E"/>
    <w:rsid w:val="00602A09"/>
    <w:rsid w:val="0062495F"/>
    <w:rsid w:val="00692865"/>
    <w:rsid w:val="006C23E4"/>
    <w:rsid w:val="006C74B6"/>
    <w:rsid w:val="006E27F5"/>
    <w:rsid w:val="0074025B"/>
    <w:rsid w:val="00750DE4"/>
    <w:rsid w:val="00754B35"/>
    <w:rsid w:val="00763B06"/>
    <w:rsid w:val="00772B02"/>
    <w:rsid w:val="007A3606"/>
    <w:rsid w:val="007B2519"/>
    <w:rsid w:val="007B55B1"/>
    <w:rsid w:val="007C469D"/>
    <w:rsid w:val="007D1A8D"/>
    <w:rsid w:val="007D36B2"/>
    <w:rsid w:val="007D554A"/>
    <w:rsid w:val="007E4DE4"/>
    <w:rsid w:val="007F33C8"/>
    <w:rsid w:val="00801640"/>
    <w:rsid w:val="00826202"/>
    <w:rsid w:val="00841D1C"/>
    <w:rsid w:val="00846070"/>
    <w:rsid w:val="008625AF"/>
    <w:rsid w:val="00876E34"/>
    <w:rsid w:val="00877D00"/>
    <w:rsid w:val="00896154"/>
    <w:rsid w:val="008A4C9D"/>
    <w:rsid w:val="008C1AAD"/>
    <w:rsid w:val="008C5C68"/>
    <w:rsid w:val="008E2BE9"/>
    <w:rsid w:val="008E6FC3"/>
    <w:rsid w:val="00902DE6"/>
    <w:rsid w:val="00903D47"/>
    <w:rsid w:val="009169F2"/>
    <w:rsid w:val="009320BB"/>
    <w:rsid w:val="00932A02"/>
    <w:rsid w:val="009558CE"/>
    <w:rsid w:val="00970635"/>
    <w:rsid w:val="00976A81"/>
    <w:rsid w:val="00977D69"/>
    <w:rsid w:val="009855F1"/>
    <w:rsid w:val="009B10DA"/>
    <w:rsid w:val="009B7C4A"/>
    <w:rsid w:val="009C3FD3"/>
    <w:rsid w:val="009D1655"/>
    <w:rsid w:val="009E0023"/>
    <w:rsid w:val="009E374C"/>
    <w:rsid w:val="009F3C93"/>
    <w:rsid w:val="009F4893"/>
    <w:rsid w:val="009F7825"/>
    <w:rsid w:val="00A04565"/>
    <w:rsid w:val="00A42FF3"/>
    <w:rsid w:val="00A437F4"/>
    <w:rsid w:val="00A61963"/>
    <w:rsid w:val="00A66133"/>
    <w:rsid w:val="00AA7806"/>
    <w:rsid w:val="00AB3971"/>
    <w:rsid w:val="00AB653B"/>
    <w:rsid w:val="00AE3F80"/>
    <w:rsid w:val="00AF1FD9"/>
    <w:rsid w:val="00B22E50"/>
    <w:rsid w:val="00B27AF0"/>
    <w:rsid w:val="00B3028F"/>
    <w:rsid w:val="00B326AB"/>
    <w:rsid w:val="00B32AF7"/>
    <w:rsid w:val="00B32F9F"/>
    <w:rsid w:val="00B356D9"/>
    <w:rsid w:val="00B3767C"/>
    <w:rsid w:val="00B74A0D"/>
    <w:rsid w:val="00B771D4"/>
    <w:rsid w:val="00BA0926"/>
    <w:rsid w:val="00BA3BA5"/>
    <w:rsid w:val="00BA6CC9"/>
    <w:rsid w:val="00BC1B70"/>
    <w:rsid w:val="00BC636D"/>
    <w:rsid w:val="00BD1093"/>
    <w:rsid w:val="00BE5DEE"/>
    <w:rsid w:val="00BE6F3F"/>
    <w:rsid w:val="00BF5188"/>
    <w:rsid w:val="00BF7A5A"/>
    <w:rsid w:val="00C259AF"/>
    <w:rsid w:val="00C44AB5"/>
    <w:rsid w:val="00C55D82"/>
    <w:rsid w:val="00C62133"/>
    <w:rsid w:val="00C712A4"/>
    <w:rsid w:val="00C9609F"/>
    <w:rsid w:val="00CB1633"/>
    <w:rsid w:val="00CB39C9"/>
    <w:rsid w:val="00CD04F4"/>
    <w:rsid w:val="00CF32AF"/>
    <w:rsid w:val="00D03F80"/>
    <w:rsid w:val="00D12A61"/>
    <w:rsid w:val="00D15ADC"/>
    <w:rsid w:val="00D4443D"/>
    <w:rsid w:val="00D46826"/>
    <w:rsid w:val="00D53AE6"/>
    <w:rsid w:val="00D559F2"/>
    <w:rsid w:val="00D57C14"/>
    <w:rsid w:val="00D66998"/>
    <w:rsid w:val="00D726D1"/>
    <w:rsid w:val="00D75FF1"/>
    <w:rsid w:val="00D76A8D"/>
    <w:rsid w:val="00D81D06"/>
    <w:rsid w:val="00D84CEB"/>
    <w:rsid w:val="00DA5CBB"/>
    <w:rsid w:val="00DA7A29"/>
    <w:rsid w:val="00DB4AE1"/>
    <w:rsid w:val="00DC3911"/>
    <w:rsid w:val="00DC459A"/>
    <w:rsid w:val="00DD5081"/>
    <w:rsid w:val="00DD53D4"/>
    <w:rsid w:val="00DF391D"/>
    <w:rsid w:val="00E05655"/>
    <w:rsid w:val="00E10B7D"/>
    <w:rsid w:val="00E35A01"/>
    <w:rsid w:val="00E40789"/>
    <w:rsid w:val="00E56D7C"/>
    <w:rsid w:val="00E61A6A"/>
    <w:rsid w:val="00E65F94"/>
    <w:rsid w:val="00E71C85"/>
    <w:rsid w:val="00E76834"/>
    <w:rsid w:val="00E94B66"/>
    <w:rsid w:val="00E94FF7"/>
    <w:rsid w:val="00EA084A"/>
    <w:rsid w:val="00EB050D"/>
    <w:rsid w:val="00EB36AD"/>
    <w:rsid w:val="00ED46BE"/>
    <w:rsid w:val="00EF161D"/>
    <w:rsid w:val="00F07B28"/>
    <w:rsid w:val="00F274A5"/>
    <w:rsid w:val="00F35C9E"/>
    <w:rsid w:val="00F4090A"/>
    <w:rsid w:val="00F7472F"/>
    <w:rsid w:val="00F91087"/>
    <w:rsid w:val="00F91419"/>
    <w:rsid w:val="00FA31D8"/>
    <w:rsid w:val="00FA3CD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EA8855D"/>
  <w15:docId w15:val="{CA9FEC9C-8923-47D6-B957-F04CC2E2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A6A"/>
    <w:pPr>
      <w:spacing w:after="120"/>
      <w:jc w:val="both"/>
    </w:pPr>
    <w:rPr>
      <w:rFonts w:ascii="Arial" w:hAnsi="Arial"/>
      <w:szCs w:val="24"/>
    </w:rPr>
  </w:style>
  <w:style w:type="paragraph" w:styleId="Heading1">
    <w:name w:val="heading 1"/>
    <w:basedOn w:val="Normal"/>
    <w:next w:val="Normal"/>
    <w:link w:val="Heading1Char"/>
    <w:qFormat/>
    <w:rsid w:val="00E61A6A"/>
    <w:pPr>
      <w:keepNext/>
      <w:numPr>
        <w:numId w:val="10"/>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E61A6A"/>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1),Major Sections,subsub,Para 3,h3"/>
    <w:basedOn w:val="Normal"/>
    <w:next w:val="Normal"/>
    <w:uiPriority w:val="9"/>
    <w:qFormat/>
    <w:rsid w:val="00E94B66"/>
    <w:pPr>
      <w:keepNext/>
      <w:keepLines/>
      <w:numPr>
        <w:ilvl w:val="2"/>
        <w:numId w:val="3"/>
      </w:numPr>
      <w:spacing w:before="200" w:after="0"/>
      <w:outlineLvl w:val="2"/>
    </w:pPr>
    <w:rPr>
      <w:rFonts w:ascii="Times New Roman" w:hAnsi="Times New Roman"/>
      <w:b/>
      <w:bCs/>
    </w:rPr>
  </w:style>
  <w:style w:type="paragraph" w:styleId="Heading4">
    <w:name w:val="heading 4"/>
    <w:aliases w:val="Para4,headhbk"/>
    <w:basedOn w:val="Normal"/>
    <w:next w:val="Normal"/>
    <w:uiPriority w:val="9"/>
    <w:qFormat/>
    <w:rsid w:val="00E94B66"/>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E94B66"/>
    <w:pPr>
      <w:numPr>
        <w:ilvl w:val="4"/>
        <w:numId w:val="3"/>
      </w:numPr>
      <w:spacing w:before="240" w:after="60"/>
      <w:outlineLvl w:val="4"/>
    </w:pPr>
    <w:rPr>
      <w:b/>
      <w:bCs/>
      <w:iCs/>
      <w:szCs w:val="26"/>
    </w:rPr>
  </w:style>
  <w:style w:type="paragraph" w:styleId="Heading6">
    <w:name w:val="heading 6"/>
    <w:basedOn w:val="Normal"/>
    <w:next w:val="Normal"/>
    <w:qFormat/>
    <w:rsid w:val="00E94B66"/>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E94B66"/>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94B66"/>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94B6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E61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A6A"/>
  </w:style>
  <w:style w:type="character" w:styleId="PageNumber">
    <w:name w:val="page number"/>
    <w:basedOn w:val="DefaultParagraphFont"/>
  </w:style>
  <w:style w:type="paragraph" w:styleId="Footer">
    <w:name w:val="footer"/>
    <w:basedOn w:val="Normal"/>
    <w:pPr>
      <w:tabs>
        <w:tab w:val="right" w:pos="9090"/>
      </w:tabs>
      <w:spacing w:after="0"/>
    </w:pPr>
    <w:rPr>
      <w:rFonts w:cs="Arial"/>
      <w:snapToGrid w:val="0"/>
      <w:sz w:val="16"/>
      <w:lang w:val="en-US"/>
    </w:rPr>
  </w:style>
  <w:style w:type="paragraph" w:styleId="Header">
    <w:name w:val="header"/>
    <w:basedOn w:val="Normal"/>
    <w:pPr>
      <w:tabs>
        <w:tab w:val="right" w:pos="9090"/>
      </w:tabs>
      <w:spacing w:after="0"/>
      <w:ind w:left="864" w:hanging="864"/>
    </w:pPr>
    <w:rPr>
      <w:rFonts w:cs="Arial"/>
      <w:sz w:val="16"/>
      <w:lang w:val="en-US"/>
    </w:rPr>
  </w:style>
  <w:style w:type="paragraph" w:styleId="BalloonText">
    <w:name w:val="Balloon Text"/>
    <w:basedOn w:val="Normal"/>
    <w:semiHidden/>
    <w:rsid w:val="000A4C27"/>
    <w:rPr>
      <w:rFonts w:ascii="Tahoma" w:hAnsi="Tahoma" w:cs="Tahoma"/>
      <w:sz w:val="16"/>
      <w:szCs w:val="16"/>
    </w:rPr>
  </w:style>
  <w:style w:type="paragraph" w:styleId="TOC1">
    <w:name w:val="toc 1"/>
    <w:next w:val="ASDEFCONNormal"/>
    <w:autoRedefine/>
    <w:uiPriority w:val="39"/>
    <w:rsid w:val="00E61A6A"/>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61A6A"/>
    <w:pPr>
      <w:spacing w:after="60"/>
      <w:ind w:left="1417" w:hanging="850"/>
    </w:pPr>
    <w:rPr>
      <w:rFonts w:ascii="Arial" w:hAnsi="Arial" w:cs="Arial"/>
      <w:szCs w:val="24"/>
    </w:rPr>
  </w:style>
  <w:style w:type="paragraph" w:styleId="TOC3">
    <w:name w:val="toc 3"/>
    <w:basedOn w:val="Normal"/>
    <w:next w:val="Normal"/>
    <w:autoRedefine/>
    <w:rsid w:val="00E61A6A"/>
    <w:pPr>
      <w:spacing w:after="100"/>
      <w:ind w:left="400"/>
    </w:pPr>
  </w:style>
  <w:style w:type="paragraph" w:styleId="TOC4">
    <w:name w:val="toc 4"/>
    <w:basedOn w:val="Normal"/>
    <w:next w:val="Normal"/>
    <w:autoRedefine/>
    <w:rsid w:val="00E61A6A"/>
    <w:pPr>
      <w:spacing w:after="100"/>
      <w:ind w:left="600"/>
    </w:pPr>
  </w:style>
  <w:style w:type="paragraph" w:styleId="TOC5">
    <w:name w:val="toc 5"/>
    <w:basedOn w:val="Normal"/>
    <w:next w:val="Normal"/>
    <w:autoRedefine/>
    <w:rsid w:val="00E61A6A"/>
    <w:pPr>
      <w:spacing w:after="100"/>
      <w:ind w:left="800"/>
    </w:pPr>
  </w:style>
  <w:style w:type="paragraph" w:styleId="TOC6">
    <w:name w:val="toc 6"/>
    <w:basedOn w:val="Normal"/>
    <w:next w:val="Normal"/>
    <w:autoRedefine/>
    <w:rsid w:val="00E61A6A"/>
    <w:pPr>
      <w:spacing w:after="100"/>
      <w:ind w:left="1000"/>
    </w:pPr>
  </w:style>
  <w:style w:type="paragraph" w:styleId="TOC7">
    <w:name w:val="toc 7"/>
    <w:basedOn w:val="Normal"/>
    <w:next w:val="Normal"/>
    <w:autoRedefine/>
    <w:rsid w:val="00E61A6A"/>
    <w:pPr>
      <w:spacing w:after="100"/>
      <w:ind w:left="1200"/>
    </w:pPr>
  </w:style>
  <w:style w:type="paragraph" w:styleId="TOC8">
    <w:name w:val="toc 8"/>
    <w:basedOn w:val="Normal"/>
    <w:next w:val="Normal"/>
    <w:autoRedefine/>
    <w:rsid w:val="00E61A6A"/>
    <w:pPr>
      <w:spacing w:after="100"/>
      <w:ind w:left="1400"/>
    </w:pPr>
  </w:style>
  <w:style w:type="paragraph" w:styleId="TOC9">
    <w:name w:val="toc 9"/>
    <w:basedOn w:val="Normal"/>
    <w:next w:val="Normal"/>
    <w:autoRedefine/>
    <w:rsid w:val="00E61A6A"/>
    <w:pPr>
      <w:spacing w:after="100"/>
      <w:ind w:left="1600"/>
    </w:pPr>
  </w:style>
  <w:style w:type="paragraph" w:styleId="BodyText">
    <w:name w:val="Body Text"/>
    <w:basedOn w:val="Normal"/>
    <w:rsid w:val="00E94B66"/>
  </w:style>
  <w:style w:type="character" w:styleId="CommentReference">
    <w:name w:val="annotation reference"/>
    <w:semiHidden/>
    <w:rPr>
      <w:sz w:val="16"/>
    </w:rPr>
  </w:style>
  <w:style w:type="paragraph" w:styleId="CommentText">
    <w:name w:val="annotation text"/>
    <w:basedOn w:val="Normal"/>
    <w:semiHidden/>
  </w:style>
  <w:style w:type="table" w:styleId="TableGrid">
    <w:name w:val="Table Grid"/>
    <w:basedOn w:val="TableNormal"/>
    <w:rsid w:val="00E94B6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E94B66"/>
    <w:pPr>
      <w:numPr>
        <w:ilvl w:val="0"/>
        <w:numId w:val="0"/>
      </w:numPr>
    </w:pPr>
    <w:rPr>
      <w:b w:val="0"/>
    </w:rPr>
  </w:style>
  <w:style w:type="paragraph" w:styleId="EndnoteText">
    <w:name w:val="endnote text"/>
    <w:basedOn w:val="Normal"/>
    <w:semiHidden/>
    <w:rsid w:val="00E94B66"/>
    <w:rPr>
      <w:szCs w:val="20"/>
    </w:rPr>
  </w:style>
  <w:style w:type="paragraph" w:styleId="CommentSubject">
    <w:name w:val="annotation subject"/>
    <w:basedOn w:val="CommentText"/>
    <w:next w:val="CommentText"/>
    <w:semiHidden/>
    <w:rsid w:val="005A27D7"/>
    <w:rPr>
      <w:b/>
      <w:bCs/>
      <w:szCs w:val="20"/>
    </w:rPr>
  </w:style>
  <w:style w:type="paragraph" w:customStyle="1" w:styleId="COTCOCLV2-ASDEFCON">
    <w:name w:val="COT/COC LV2 - ASDEFCON"/>
    <w:basedOn w:val="ASDEFCONNormal"/>
    <w:next w:val="COTCOCLV3-ASDEFCON"/>
    <w:rsid w:val="00E61A6A"/>
    <w:pPr>
      <w:keepNext/>
      <w:keepLines/>
      <w:numPr>
        <w:ilvl w:val="1"/>
        <w:numId w:val="4"/>
      </w:numPr>
      <w:pBdr>
        <w:bottom w:val="single" w:sz="4" w:space="1" w:color="auto"/>
      </w:pBdr>
    </w:pPr>
    <w:rPr>
      <w:b/>
    </w:rPr>
  </w:style>
  <w:style w:type="paragraph" w:customStyle="1" w:styleId="ASDEFCONNormal">
    <w:name w:val="ASDEFCON Normal"/>
    <w:link w:val="ASDEFCONNormalChar"/>
    <w:rsid w:val="00E61A6A"/>
    <w:pPr>
      <w:spacing w:after="120"/>
      <w:jc w:val="both"/>
    </w:pPr>
    <w:rPr>
      <w:rFonts w:ascii="Arial" w:hAnsi="Arial"/>
      <w:color w:val="000000"/>
      <w:szCs w:val="40"/>
    </w:rPr>
  </w:style>
  <w:style w:type="character" w:customStyle="1" w:styleId="ASDEFCONNormalChar">
    <w:name w:val="ASDEFCON Normal Char"/>
    <w:link w:val="ASDEFCONNormal"/>
    <w:rsid w:val="00E61A6A"/>
    <w:rPr>
      <w:rFonts w:ascii="Arial" w:hAnsi="Arial"/>
      <w:color w:val="000000"/>
      <w:szCs w:val="40"/>
    </w:rPr>
  </w:style>
  <w:style w:type="paragraph" w:customStyle="1" w:styleId="COTCOCLV3-ASDEFCON">
    <w:name w:val="COT/COC LV3 - ASDEFCON"/>
    <w:basedOn w:val="ASDEFCONNormal"/>
    <w:link w:val="COTCOCLV3-ASDEFCONChar"/>
    <w:rsid w:val="00E61A6A"/>
    <w:pPr>
      <w:numPr>
        <w:ilvl w:val="2"/>
        <w:numId w:val="4"/>
      </w:numPr>
    </w:pPr>
  </w:style>
  <w:style w:type="paragraph" w:customStyle="1" w:styleId="COTCOCLV1-ASDEFCON">
    <w:name w:val="COT/COC LV1 - ASDEFCON"/>
    <w:basedOn w:val="ASDEFCONNormal"/>
    <w:next w:val="COTCOCLV2-ASDEFCON"/>
    <w:rsid w:val="00E61A6A"/>
    <w:pPr>
      <w:keepNext/>
      <w:keepLines/>
      <w:numPr>
        <w:numId w:val="4"/>
      </w:numPr>
      <w:spacing w:before="240"/>
    </w:pPr>
    <w:rPr>
      <w:b/>
      <w:caps/>
    </w:rPr>
  </w:style>
  <w:style w:type="paragraph" w:customStyle="1" w:styleId="COTCOCLV4-ASDEFCON">
    <w:name w:val="COT/COC LV4 - ASDEFCON"/>
    <w:basedOn w:val="ASDEFCONNormal"/>
    <w:link w:val="COTCOCLV4-ASDEFCONChar"/>
    <w:rsid w:val="00E61A6A"/>
    <w:pPr>
      <w:numPr>
        <w:ilvl w:val="3"/>
        <w:numId w:val="4"/>
      </w:numPr>
    </w:pPr>
  </w:style>
  <w:style w:type="paragraph" w:customStyle="1" w:styleId="COTCOCLV5-ASDEFCON">
    <w:name w:val="COT/COC LV5 - ASDEFCON"/>
    <w:basedOn w:val="ASDEFCONNormal"/>
    <w:rsid w:val="00E61A6A"/>
    <w:pPr>
      <w:numPr>
        <w:ilvl w:val="4"/>
        <w:numId w:val="4"/>
      </w:numPr>
    </w:pPr>
  </w:style>
  <w:style w:type="paragraph" w:customStyle="1" w:styleId="COTCOCLV6-ASDEFCON">
    <w:name w:val="COT/COC LV6 - ASDEFCON"/>
    <w:basedOn w:val="ASDEFCONNormal"/>
    <w:rsid w:val="00E61A6A"/>
    <w:pPr>
      <w:keepLines/>
      <w:numPr>
        <w:ilvl w:val="5"/>
        <w:numId w:val="4"/>
      </w:numPr>
    </w:pPr>
  </w:style>
  <w:style w:type="paragraph" w:customStyle="1" w:styleId="ASDEFCONOption">
    <w:name w:val="ASDEFCON Option"/>
    <w:basedOn w:val="ASDEFCONNormal"/>
    <w:rsid w:val="00E61A6A"/>
    <w:pPr>
      <w:keepNext/>
      <w:spacing w:before="60"/>
    </w:pPr>
    <w:rPr>
      <w:b/>
      <w:i/>
      <w:szCs w:val="24"/>
    </w:rPr>
  </w:style>
  <w:style w:type="paragraph" w:customStyle="1" w:styleId="NoteToDrafters-ASDEFCON">
    <w:name w:val="Note To Drafters - ASDEFCON"/>
    <w:basedOn w:val="ASDEFCONNormal"/>
    <w:rsid w:val="00E61A6A"/>
    <w:pPr>
      <w:keepNext/>
      <w:shd w:val="clear" w:color="auto" w:fill="000000"/>
    </w:pPr>
    <w:rPr>
      <w:b/>
      <w:i/>
      <w:color w:val="FFFFFF"/>
    </w:rPr>
  </w:style>
  <w:style w:type="paragraph" w:customStyle="1" w:styleId="NoteToTenderers-ASDEFCON">
    <w:name w:val="Note To Tenderers - ASDEFCON"/>
    <w:basedOn w:val="ASDEFCONNormal"/>
    <w:rsid w:val="00E61A6A"/>
    <w:pPr>
      <w:keepNext/>
      <w:shd w:val="pct15" w:color="auto" w:fill="auto"/>
    </w:pPr>
    <w:rPr>
      <w:b/>
      <w:i/>
    </w:rPr>
  </w:style>
  <w:style w:type="paragraph" w:customStyle="1" w:styleId="ASDEFCONTitle">
    <w:name w:val="ASDEFCON Title"/>
    <w:basedOn w:val="ASDEFCONNormal"/>
    <w:rsid w:val="00E61A6A"/>
    <w:pPr>
      <w:keepLines/>
      <w:spacing w:before="240"/>
      <w:jc w:val="center"/>
    </w:pPr>
    <w:rPr>
      <w:b/>
      <w:caps/>
    </w:rPr>
  </w:style>
  <w:style w:type="paragraph" w:customStyle="1" w:styleId="ATTANNLV1-ASDEFCON">
    <w:name w:val="ATT/ANN LV1 - ASDEFCON"/>
    <w:basedOn w:val="ASDEFCONNormal"/>
    <w:next w:val="ATTANNLV2-ASDEFCON"/>
    <w:rsid w:val="00E61A6A"/>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61A6A"/>
    <w:pPr>
      <w:numPr>
        <w:ilvl w:val="1"/>
        <w:numId w:val="25"/>
      </w:numPr>
    </w:pPr>
    <w:rPr>
      <w:szCs w:val="24"/>
    </w:rPr>
  </w:style>
  <w:style w:type="character" w:customStyle="1" w:styleId="ATTANNLV2-ASDEFCONChar">
    <w:name w:val="ATT/ANN LV2 - ASDEFCON Char"/>
    <w:link w:val="ATTANNLV2-ASDEFCON"/>
    <w:rsid w:val="00E61A6A"/>
    <w:rPr>
      <w:rFonts w:ascii="Arial" w:hAnsi="Arial"/>
      <w:color w:val="000000"/>
      <w:szCs w:val="24"/>
    </w:rPr>
  </w:style>
  <w:style w:type="paragraph" w:customStyle="1" w:styleId="ATTANNLV3-ASDEFCON">
    <w:name w:val="ATT/ANN LV3 - ASDEFCON"/>
    <w:basedOn w:val="ASDEFCONNormal"/>
    <w:rsid w:val="00E61A6A"/>
    <w:pPr>
      <w:numPr>
        <w:ilvl w:val="2"/>
        <w:numId w:val="25"/>
      </w:numPr>
    </w:pPr>
    <w:rPr>
      <w:szCs w:val="24"/>
    </w:rPr>
  </w:style>
  <w:style w:type="paragraph" w:customStyle="1" w:styleId="ATTANNLV4-ASDEFCON">
    <w:name w:val="ATT/ANN LV4 - ASDEFCON"/>
    <w:basedOn w:val="ASDEFCONNormal"/>
    <w:rsid w:val="00E61A6A"/>
    <w:pPr>
      <w:numPr>
        <w:ilvl w:val="3"/>
        <w:numId w:val="25"/>
      </w:numPr>
    </w:pPr>
    <w:rPr>
      <w:szCs w:val="24"/>
    </w:rPr>
  </w:style>
  <w:style w:type="paragraph" w:customStyle="1" w:styleId="ASDEFCONCoverTitle">
    <w:name w:val="ASDEFCON Cover Title"/>
    <w:rsid w:val="00E61A6A"/>
    <w:pPr>
      <w:jc w:val="center"/>
    </w:pPr>
    <w:rPr>
      <w:rFonts w:ascii="Georgia" w:hAnsi="Georgia"/>
      <w:b/>
      <w:color w:val="000000"/>
      <w:sz w:val="100"/>
      <w:szCs w:val="24"/>
    </w:rPr>
  </w:style>
  <w:style w:type="paragraph" w:customStyle="1" w:styleId="ASDEFCONHeaderFooterLeft">
    <w:name w:val="ASDEFCON Header/Footer Left"/>
    <w:basedOn w:val="ASDEFCONNormal"/>
    <w:rsid w:val="00E61A6A"/>
    <w:pPr>
      <w:spacing w:after="0"/>
      <w:jc w:val="left"/>
    </w:pPr>
    <w:rPr>
      <w:sz w:val="16"/>
      <w:szCs w:val="24"/>
    </w:rPr>
  </w:style>
  <w:style w:type="paragraph" w:customStyle="1" w:styleId="ASDEFCONCoverPageIncorp">
    <w:name w:val="ASDEFCON Cover Page Incorp"/>
    <w:rsid w:val="00E61A6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61A6A"/>
    <w:rPr>
      <w:b/>
      <w:i/>
    </w:rPr>
  </w:style>
  <w:style w:type="paragraph" w:customStyle="1" w:styleId="COTCOCLV2NONUM-ASDEFCON">
    <w:name w:val="COT/COC LV2 NONUM - ASDEFCON"/>
    <w:basedOn w:val="COTCOCLV2-ASDEFCON"/>
    <w:next w:val="COTCOCLV3-ASDEFCON"/>
    <w:rsid w:val="00E61A6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61A6A"/>
    <w:pPr>
      <w:keepNext w:val="0"/>
      <w:numPr>
        <w:numId w:val="0"/>
      </w:numPr>
      <w:ind w:left="851"/>
    </w:pPr>
    <w:rPr>
      <w:bCs/>
      <w:szCs w:val="20"/>
    </w:rPr>
  </w:style>
  <w:style w:type="paragraph" w:customStyle="1" w:styleId="COTCOCLV3NONUM-ASDEFCON">
    <w:name w:val="COT/COC LV3 NONUM - ASDEFCON"/>
    <w:basedOn w:val="COTCOCLV3-ASDEFCON"/>
    <w:next w:val="COTCOCLV3-ASDEFCON"/>
    <w:rsid w:val="00E61A6A"/>
    <w:pPr>
      <w:numPr>
        <w:ilvl w:val="0"/>
        <w:numId w:val="0"/>
      </w:numPr>
      <w:ind w:left="851"/>
    </w:pPr>
    <w:rPr>
      <w:szCs w:val="20"/>
    </w:rPr>
  </w:style>
  <w:style w:type="paragraph" w:customStyle="1" w:styleId="COTCOCLV4NONUM-ASDEFCON">
    <w:name w:val="COT/COC LV4 NONUM - ASDEFCON"/>
    <w:basedOn w:val="COTCOCLV4-ASDEFCON"/>
    <w:next w:val="COTCOCLV4-ASDEFCON"/>
    <w:rsid w:val="00E61A6A"/>
    <w:pPr>
      <w:numPr>
        <w:ilvl w:val="0"/>
        <w:numId w:val="0"/>
      </w:numPr>
      <w:ind w:left="1418"/>
    </w:pPr>
    <w:rPr>
      <w:szCs w:val="20"/>
    </w:rPr>
  </w:style>
  <w:style w:type="paragraph" w:customStyle="1" w:styleId="COTCOCLV5NONUM-ASDEFCON">
    <w:name w:val="COT/COC LV5 NONUM - ASDEFCON"/>
    <w:basedOn w:val="COTCOCLV5-ASDEFCON"/>
    <w:next w:val="COTCOCLV5-ASDEFCON"/>
    <w:rsid w:val="00E61A6A"/>
    <w:pPr>
      <w:numPr>
        <w:ilvl w:val="0"/>
        <w:numId w:val="0"/>
      </w:numPr>
      <w:ind w:left="1985"/>
    </w:pPr>
    <w:rPr>
      <w:szCs w:val="20"/>
    </w:rPr>
  </w:style>
  <w:style w:type="paragraph" w:customStyle="1" w:styleId="COTCOCLV6NONUM-ASDEFCON">
    <w:name w:val="COT/COC LV6 NONUM - ASDEFCON"/>
    <w:basedOn w:val="COTCOCLV6-ASDEFCON"/>
    <w:next w:val="COTCOCLV6-ASDEFCON"/>
    <w:rsid w:val="00E61A6A"/>
    <w:pPr>
      <w:numPr>
        <w:ilvl w:val="0"/>
        <w:numId w:val="0"/>
      </w:numPr>
      <w:ind w:left="2552"/>
    </w:pPr>
    <w:rPr>
      <w:szCs w:val="20"/>
    </w:rPr>
  </w:style>
  <w:style w:type="paragraph" w:customStyle="1" w:styleId="ATTANNLV1NONUM-ASDEFCON">
    <w:name w:val="ATT/ANN LV1 NONUM - ASDEFCON"/>
    <w:basedOn w:val="ATTANNLV1-ASDEFCON"/>
    <w:next w:val="ATTANNLV2-ASDEFCON"/>
    <w:rsid w:val="00E61A6A"/>
    <w:pPr>
      <w:numPr>
        <w:numId w:val="0"/>
      </w:numPr>
      <w:ind w:left="851"/>
    </w:pPr>
    <w:rPr>
      <w:bCs/>
      <w:szCs w:val="20"/>
    </w:rPr>
  </w:style>
  <w:style w:type="paragraph" w:customStyle="1" w:styleId="ATTANNLV2NONUM-ASDEFCON">
    <w:name w:val="ATT/ANN LV2 NONUM - ASDEFCON"/>
    <w:basedOn w:val="ATTANNLV2-ASDEFCON"/>
    <w:next w:val="ATTANNLV2-ASDEFCON"/>
    <w:rsid w:val="00E61A6A"/>
    <w:pPr>
      <w:numPr>
        <w:ilvl w:val="0"/>
        <w:numId w:val="0"/>
      </w:numPr>
      <w:ind w:left="851"/>
    </w:pPr>
    <w:rPr>
      <w:szCs w:val="20"/>
    </w:rPr>
  </w:style>
  <w:style w:type="paragraph" w:customStyle="1" w:styleId="ATTANNLV3NONUM-ASDEFCON">
    <w:name w:val="ATT/ANN LV3 NONUM - ASDEFCON"/>
    <w:basedOn w:val="ATTANNLV3-ASDEFCON"/>
    <w:next w:val="ATTANNLV3-ASDEFCON"/>
    <w:rsid w:val="00E61A6A"/>
    <w:pPr>
      <w:numPr>
        <w:ilvl w:val="0"/>
        <w:numId w:val="0"/>
      </w:numPr>
      <w:ind w:left="1418"/>
    </w:pPr>
    <w:rPr>
      <w:szCs w:val="20"/>
    </w:rPr>
  </w:style>
  <w:style w:type="paragraph" w:customStyle="1" w:styleId="ATTANNLV4NONUM-ASDEFCON">
    <w:name w:val="ATT/ANN LV4 NONUM - ASDEFCON"/>
    <w:basedOn w:val="ATTANNLV4-ASDEFCON"/>
    <w:next w:val="ATTANNLV4-ASDEFCON"/>
    <w:rsid w:val="00E61A6A"/>
    <w:pPr>
      <w:numPr>
        <w:ilvl w:val="0"/>
        <w:numId w:val="0"/>
      </w:numPr>
      <w:ind w:left="1985"/>
    </w:pPr>
    <w:rPr>
      <w:szCs w:val="20"/>
    </w:rPr>
  </w:style>
  <w:style w:type="paragraph" w:customStyle="1" w:styleId="NoteToDraftersBullets-ASDEFCON">
    <w:name w:val="Note To Drafters Bullets - ASDEFCON"/>
    <w:basedOn w:val="NoteToDrafters-ASDEFCON"/>
    <w:rsid w:val="00E61A6A"/>
    <w:pPr>
      <w:numPr>
        <w:numId w:val="6"/>
      </w:numPr>
    </w:pPr>
    <w:rPr>
      <w:bCs/>
      <w:iCs/>
      <w:szCs w:val="20"/>
    </w:rPr>
  </w:style>
  <w:style w:type="paragraph" w:customStyle="1" w:styleId="NoteToDraftersList-ASDEFCON">
    <w:name w:val="Note To Drafters List - ASDEFCON"/>
    <w:basedOn w:val="NoteToDrafters-ASDEFCON"/>
    <w:rsid w:val="00E61A6A"/>
    <w:pPr>
      <w:numPr>
        <w:numId w:val="7"/>
      </w:numPr>
    </w:pPr>
    <w:rPr>
      <w:bCs/>
      <w:iCs/>
      <w:szCs w:val="20"/>
    </w:rPr>
  </w:style>
  <w:style w:type="paragraph" w:customStyle="1" w:styleId="NoteToTenderersBullets-ASDEFCON">
    <w:name w:val="Note To Tenderers Bullets - ASDEFCON"/>
    <w:basedOn w:val="NoteToTenderers-ASDEFCON"/>
    <w:rsid w:val="00E61A6A"/>
    <w:pPr>
      <w:numPr>
        <w:numId w:val="8"/>
      </w:numPr>
    </w:pPr>
    <w:rPr>
      <w:bCs/>
      <w:iCs/>
      <w:szCs w:val="20"/>
    </w:rPr>
  </w:style>
  <w:style w:type="paragraph" w:customStyle="1" w:styleId="NoteToTenderersList-ASDEFCON">
    <w:name w:val="Note To Tenderers List - ASDEFCON"/>
    <w:basedOn w:val="NoteToTenderers-ASDEFCON"/>
    <w:rsid w:val="00E61A6A"/>
    <w:pPr>
      <w:numPr>
        <w:numId w:val="9"/>
      </w:numPr>
    </w:pPr>
    <w:rPr>
      <w:bCs/>
      <w:iCs/>
      <w:szCs w:val="20"/>
    </w:rPr>
  </w:style>
  <w:style w:type="paragraph" w:customStyle="1" w:styleId="SOWHL1-ASDEFCON">
    <w:name w:val="SOW HL1 - ASDEFCON"/>
    <w:basedOn w:val="ASDEFCONNormal"/>
    <w:next w:val="SOWHL2-ASDEFCON"/>
    <w:qFormat/>
    <w:rsid w:val="00E61A6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61A6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61A6A"/>
    <w:pPr>
      <w:keepNext/>
      <w:numPr>
        <w:ilvl w:val="2"/>
        <w:numId w:val="2"/>
      </w:numPr>
    </w:pPr>
    <w:rPr>
      <w:rFonts w:eastAsia="Calibri"/>
      <w:b/>
      <w:szCs w:val="22"/>
      <w:lang w:eastAsia="en-US"/>
    </w:rPr>
  </w:style>
  <w:style w:type="paragraph" w:customStyle="1" w:styleId="SOWHL4-ASDEFCON">
    <w:name w:val="SOW HL4 - ASDEFCON"/>
    <w:basedOn w:val="ASDEFCONNormal"/>
    <w:qFormat/>
    <w:rsid w:val="00E61A6A"/>
    <w:pPr>
      <w:keepNext/>
      <w:numPr>
        <w:ilvl w:val="3"/>
        <w:numId w:val="2"/>
      </w:numPr>
    </w:pPr>
    <w:rPr>
      <w:rFonts w:eastAsia="Calibri"/>
      <w:b/>
      <w:szCs w:val="22"/>
      <w:lang w:eastAsia="en-US"/>
    </w:rPr>
  </w:style>
  <w:style w:type="paragraph" w:customStyle="1" w:styleId="SOWHL5-ASDEFCON">
    <w:name w:val="SOW HL5 - ASDEFCON"/>
    <w:basedOn w:val="ASDEFCONNormal"/>
    <w:qFormat/>
    <w:rsid w:val="00E61A6A"/>
    <w:pPr>
      <w:keepNext/>
      <w:numPr>
        <w:ilvl w:val="4"/>
        <w:numId w:val="2"/>
      </w:numPr>
    </w:pPr>
    <w:rPr>
      <w:rFonts w:eastAsia="Calibri"/>
      <w:b/>
      <w:szCs w:val="22"/>
      <w:lang w:eastAsia="en-US"/>
    </w:rPr>
  </w:style>
  <w:style w:type="paragraph" w:customStyle="1" w:styleId="SOWSubL1-ASDEFCON">
    <w:name w:val="SOW SubL1 - ASDEFCON"/>
    <w:basedOn w:val="ASDEFCONNormal"/>
    <w:qFormat/>
    <w:rsid w:val="00E61A6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61A6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61A6A"/>
    <w:pPr>
      <w:numPr>
        <w:ilvl w:val="0"/>
        <w:numId w:val="0"/>
      </w:numPr>
      <w:ind w:left="1134"/>
    </w:pPr>
    <w:rPr>
      <w:rFonts w:eastAsia="Times New Roman"/>
      <w:bCs/>
      <w:szCs w:val="20"/>
    </w:rPr>
  </w:style>
  <w:style w:type="paragraph" w:customStyle="1" w:styleId="SOWTL2-ASDEFCON">
    <w:name w:val="SOW TL2 - ASDEFCON"/>
    <w:basedOn w:val="SOWHL2-ASDEFCON"/>
    <w:rsid w:val="00E61A6A"/>
    <w:pPr>
      <w:keepNext w:val="0"/>
      <w:pBdr>
        <w:bottom w:val="none" w:sz="0" w:space="0" w:color="auto"/>
      </w:pBdr>
    </w:pPr>
    <w:rPr>
      <w:b w:val="0"/>
    </w:rPr>
  </w:style>
  <w:style w:type="paragraph" w:customStyle="1" w:styleId="SOWTL3NONUM-ASDEFCON">
    <w:name w:val="SOW TL3 NONUM - ASDEFCON"/>
    <w:basedOn w:val="SOWTL3-ASDEFCON"/>
    <w:next w:val="SOWTL3-ASDEFCON"/>
    <w:rsid w:val="00E61A6A"/>
    <w:pPr>
      <w:numPr>
        <w:ilvl w:val="0"/>
        <w:numId w:val="0"/>
      </w:numPr>
      <w:ind w:left="1134"/>
    </w:pPr>
    <w:rPr>
      <w:rFonts w:eastAsia="Times New Roman"/>
      <w:bCs/>
      <w:szCs w:val="20"/>
    </w:rPr>
  </w:style>
  <w:style w:type="paragraph" w:customStyle="1" w:styleId="SOWTL3-ASDEFCON">
    <w:name w:val="SOW TL3 - ASDEFCON"/>
    <w:basedOn w:val="SOWHL3-ASDEFCON"/>
    <w:rsid w:val="00E61A6A"/>
    <w:pPr>
      <w:keepNext w:val="0"/>
    </w:pPr>
    <w:rPr>
      <w:b w:val="0"/>
    </w:rPr>
  </w:style>
  <w:style w:type="paragraph" w:customStyle="1" w:styleId="SOWTL4NONUM-ASDEFCON">
    <w:name w:val="SOW TL4 NONUM - ASDEFCON"/>
    <w:basedOn w:val="SOWTL4-ASDEFCON"/>
    <w:next w:val="SOWTL4-ASDEFCON"/>
    <w:rsid w:val="00E61A6A"/>
    <w:pPr>
      <w:numPr>
        <w:ilvl w:val="0"/>
        <w:numId w:val="0"/>
      </w:numPr>
      <w:ind w:left="1134"/>
    </w:pPr>
    <w:rPr>
      <w:rFonts w:eastAsia="Times New Roman"/>
      <w:bCs/>
      <w:szCs w:val="20"/>
    </w:rPr>
  </w:style>
  <w:style w:type="paragraph" w:customStyle="1" w:styleId="SOWTL4-ASDEFCON">
    <w:name w:val="SOW TL4 - ASDEFCON"/>
    <w:basedOn w:val="SOWHL4-ASDEFCON"/>
    <w:rsid w:val="00E61A6A"/>
    <w:pPr>
      <w:keepNext w:val="0"/>
    </w:pPr>
    <w:rPr>
      <w:b w:val="0"/>
    </w:rPr>
  </w:style>
  <w:style w:type="paragraph" w:customStyle="1" w:styleId="SOWTL5NONUM-ASDEFCON">
    <w:name w:val="SOW TL5 NONUM - ASDEFCON"/>
    <w:basedOn w:val="SOWHL5-ASDEFCON"/>
    <w:next w:val="SOWTL5-ASDEFCON"/>
    <w:rsid w:val="00E61A6A"/>
    <w:pPr>
      <w:keepNext w:val="0"/>
      <w:numPr>
        <w:ilvl w:val="0"/>
        <w:numId w:val="0"/>
      </w:numPr>
      <w:ind w:left="1134"/>
    </w:pPr>
    <w:rPr>
      <w:b w:val="0"/>
    </w:rPr>
  </w:style>
  <w:style w:type="paragraph" w:customStyle="1" w:styleId="SOWTL5-ASDEFCON">
    <w:name w:val="SOW TL5 - ASDEFCON"/>
    <w:basedOn w:val="SOWHL5-ASDEFCON"/>
    <w:rsid w:val="00E61A6A"/>
    <w:pPr>
      <w:keepNext w:val="0"/>
    </w:pPr>
    <w:rPr>
      <w:b w:val="0"/>
    </w:rPr>
  </w:style>
  <w:style w:type="paragraph" w:customStyle="1" w:styleId="SOWSubL2-ASDEFCON">
    <w:name w:val="SOW SubL2 - ASDEFCON"/>
    <w:basedOn w:val="ASDEFCONNormal"/>
    <w:qFormat/>
    <w:rsid w:val="00E61A6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61A6A"/>
    <w:pPr>
      <w:numPr>
        <w:numId w:val="0"/>
      </w:numPr>
      <w:ind w:left="1701"/>
    </w:pPr>
  </w:style>
  <w:style w:type="paragraph" w:customStyle="1" w:styleId="SOWSubL2NONUM-ASDEFCON">
    <w:name w:val="SOW SubL2 NONUM - ASDEFCON"/>
    <w:basedOn w:val="SOWSubL2-ASDEFCON"/>
    <w:next w:val="SOWSubL2-ASDEFCON"/>
    <w:qFormat/>
    <w:rsid w:val="00E61A6A"/>
    <w:pPr>
      <w:numPr>
        <w:ilvl w:val="0"/>
        <w:numId w:val="0"/>
      </w:numPr>
      <w:ind w:left="2268"/>
    </w:pPr>
  </w:style>
  <w:style w:type="paragraph" w:styleId="FootnoteText">
    <w:name w:val="footnote text"/>
    <w:basedOn w:val="Normal"/>
    <w:link w:val="FootnoteTextChar"/>
    <w:semiHidden/>
    <w:rsid w:val="00E61A6A"/>
    <w:rPr>
      <w:szCs w:val="20"/>
    </w:rPr>
  </w:style>
  <w:style w:type="character" w:customStyle="1" w:styleId="FootnoteTextChar">
    <w:name w:val="Footnote Text Char"/>
    <w:basedOn w:val="DefaultParagraphFont"/>
    <w:link w:val="FootnoteText"/>
    <w:semiHidden/>
    <w:rsid w:val="00E76834"/>
    <w:rPr>
      <w:rFonts w:ascii="Arial" w:hAnsi="Arial"/>
    </w:rPr>
  </w:style>
  <w:style w:type="paragraph" w:customStyle="1" w:styleId="ASDEFCONTextBlock">
    <w:name w:val="ASDEFCON TextBlock"/>
    <w:basedOn w:val="ASDEFCONNormal"/>
    <w:qFormat/>
    <w:rsid w:val="00E61A6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61A6A"/>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61A6A"/>
    <w:pPr>
      <w:keepNext/>
      <w:spacing w:before="240"/>
    </w:pPr>
    <w:rPr>
      <w:rFonts w:ascii="Arial Bold" w:hAnsi="Arial Bold"/>
      <w:b/>
      <w:bCs/>
      <w:caps/>
      <w:szCs w:val="20"/>
    </w:rPr>
  </w:style>
  <w:style w:type="paragraph" w:customStyle="1" w:styleId="Table8ptHeading-ASDEFCON">
    <w:name w:val="Table 8pt Heading - ASDEFCON"/>
    <w:basedOn w:val="ASDEFCONNormal"/>
    <w:rsid w:val="00E61A6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61A6A"/>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61A6A"/>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61A6A"/>
    <w:rPr>
      <w:rFonts w:ascii="Arial" w:eastAsia="Calibri" w:hAnsi="Arial"/>
      <w:color w:val="000000"/>
      <w:szCs w:val="22"/>
      <w:lang w:eastAsia="en-US"/>
    </w:rPr>
  </w:style>
  <w:style w:type="paragraph" w:customStyle="1" w:styleId="Table8ptSub1-ASDEFCON">
    <w:name w:val="Table 8pt Sub1 - ASDEFCON"/>
    <w:basedOn w:val="Table8ptText-ASDEFCON"/>
    <w:rsid w:val="00E61A6A"/>
    <w:pPr>
      <w:numPr>
        <w:ilvl w:val="1"/>
      </w:numPr>
    </w:pPr>
  </w:style>
  <w:style w:type="paragraph" w:customStyle="1" w:styleId="Table8ptSub2-ASDEFCON">
    <w:name w:val="Table 8pt Sub2 - ASDEFCON"/>
    <w:basedOn w:val="Table8ptText-ASDEFCON"/>
    <w:rsid w:val="00E61A6A"/>
    <w:pPr>
      <w:numPr>
        <w:ilvl w:val="2"/>
      </w:numPr>
    </w:pPr>
  </w:style>
  <w:style w:type="paragraph" w:customStyle="1" w:styleId="Table10ptHeading-ASDEFCON">
    <w:name w:val="Table 10pt Heading - ASDEFCON"/>
    <w:basedOn w:val="ASDEFCONNormal"/>
    <w:rsid w:val="00E61A6A"/>
    <w:pPr>
      <w:keepNext/>
      <w:spacing w:before="60" w:after="60"/>
      <w:jc w:val="center"/>
    </w:pPr>
    <w:rPr>
      <w:b/>
    </w:rPr>
  </w:style>
  <w:style w:type="paragraph" w:customStyle="1" w:styleId="Table8ptBP1-ASDEFCON">
    <w:name w:val="Table 8pt BP1 - ASDEFCON"/>
    <w:basedOn w:val="Table8ptText-ASDEFCON"/>
    <w:rsid w:val="00E61A6A"/>
    <w:pPr>
      <w:numPr>
        <w:numId w:val="12"/>
      </w:numPr>
    </w:pPr>
  </w:style>
  <w:style w:type="paragraph" w:customStyle="1" w:styleId="Table8ptBP2-ASDEFCON">
    <w:name w:val="Table 8pt BP2 - ASDEFCON"/>
    <w:basedOn w:val="Table8ptText-ASDEFCON"/>
    <w:rsid w:val="00E61A6A"/>
    <w:pPr>
      <w:numPr>
        <w:ilvl w:val="1"/>
        <w:numId w:val="12"/>
      </w:numPr>
      <w:tabs>
        <w:tab w:val="clear" w:pos="284"/>
      </w:tabs>
    </w:pPr>
    <w:rPr>
      <w:iCs/>
    </w:rPr>
  </w:style>
  <w:style w:type="paragraph" w:customStyle="1" w:styleId="ASDEFCONBulletsLV1">
    <w:name w:val="ASDEFCON Bullets LV1"/>
    <w:basedOn w:val="ASDEFCONNormal"/>
    <w:rsid w:val="00E61A6A"/>
    <w:pPr>
      <w:numPr>
        <w:numId w:val="14"/>
      </w:numPr>
    </w:pPr>
    <w:rPr>
      <w:rFonts w:eastAsia="Calibri"/>
      <w:szCs w:val="22"/>
      <w:lang w:eastAsia="en-US"/>
    </w:rPr>
  </w:style>
  <w:style w:type="paragraph" w:customStyle="1" w:styleId="Table10ptSub1-ASDEFCON">
    <w:name w:val="Table 10pt Sub1 - ASDEFCON"/>
    <w:basedOn w:val="Table10ptText-ASDEFCON"/>
    <w:rsid w:val="00E61A6A"/>
    <w:pPr>
      <w:numPr>
        <w:ilvl w:val="1"/>
      </w:numPr>
      <w:jc w:val="both"/>
    </w:pPr>
  </w:style>
  <w:style w:type="paragraph" w:customStyle="1" w:styleId="Table10ptSub2-ASDEFCON">
    <w:name w:val="Table 10pt Sub2 - ASDEFCON"/>
    <w:basedOn w:val="Table10ptText-ASDEFCON"/>
    <w:rsid w:val="00E61A6A"/>
    <w:pPr>
      <w:numPr>
        <w:ilvl w:val="2"/>
      </w:numPr>
      <w:jc w:val="both"/>
    </w:pPr>
  </w:style>
  <w:style w:type="paragraph" w:customStyle="1" w:styleId="ASDEFCONBulletsLV2">
    <w:name w:val="ASDEFCON Bullets LV2"/>
    <w:basedOn w:val="ASDEFCONNormal"/>
    <w:rsid w:val="00E61A6A"/>
    <w:pPr>
      <w:numPr>
        <w:numId w:val="1"/>
      </w:numPr>
    </w:pPr>
  </w:style>
  <w:style w:type="paragraph" w:customStyle="1" w:styleId="Table10ptBP1-ASDEFCON">
    <w:name w:val="Table 10pt BP1 - ASDEFCON"/>
    <w:basedOn w:val="ASDEFCONNormal"/>
    <w:rsid w:val="00E61A6A"/>
    <w:pPr>
      <w:numPr>
        <w:numId w:val="18"/>
      </w:numPr>
      <w:spacing w:before="60" w:after="60"/>
    </w:pPr>
  </w:style>
  <w:style w:type="paragraph" w:customStyle="1" w:styleId="Table10ptBP2-ASDEFCON">
    <w:name w:val="Table 10pt BP2 - ASDEFCON"/>
    <w:basedOn w:val="ASDEFCONNormal"/>
    <w:link w:val="Table10ptBP2-ASDEFCONCharChar"/>
    <w:rsid w:val="00E61A6A"/>
    <w:pPr>
      <w:numPr>
        <w:ilvl w:val="1"/>
        <w:numId w:val="18"/>
      </w:numPr>
      <w:spacing w:before="60" w:after="60"/>
    </w:pPr>
  </w:style>
  <w:style w:type="character" w:customStyle="1" w:styleId="Table10ptBP2-ASDEFCONCharChar">
    <w:name w:val="Table 10pt BP2 - ASDEFCON Char Char"/>
    <w:link w:val="Table10ptBP2-ASDEFCON"/>
    <w:rsid w:val="00E61A6A"/>
    <w:rPr>
      <w:rFonts w:ascii="Arial" w:hAnsi="Arial"/>
      <w:color w:val="000000"/>
      <w:szCs w:val="40"/>
    </w:rPr>
  </w:style>
  <w:style w:type="paragraph" w:customStyle="1" w:styleId="GuideMarginHead-ASDEFCON">
    <w:name w:val="Guide Margin Head - ASDEFCON"/>
    <w:basedOn w:val="ASDEFCONNormal"/>
    <w:rsid w:val="00E61A6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61A6A"/>
    <w:pPr>
      <w:ind w:left="1680"/>
    </w:pPr>
    <w:rPr>
      <w:lang w:eastAsia="en-US"/>
    </w:rPr>
  </w:style>
  <w:style w:type="paragraph" w:customStyle="1" w:styleId="GuideSublistLv1-ASDEFCON">
    <w:name w:val="Guide Sublist Lv1 - ASDEFCON"/>
    <w:basedOn w:val="ASDEFCONNormal"/>
    <w:qFormat/>
    <w:rsid w:val="00E61A6A"/>
    <w:pPr>
      <w:numPr>
        <w:numId w:val="22"/>
      </w:numPr>
    </w:pPr>
    <w:rPr>
      <w:rFonts w:eastAsia="Calibri"/>
      <w:szCs w:val="22"/>
      <w:lang w:eastAsia="en-US"/>
    </w:rPr>
  </w:style>
  <w:style w:type="paragraph" w:customStyle="1" w:styleId="GuideBullets-ASDEFCON">
    <w:name w:val="Guide Bullets - ASDEFCON"/>
    <w:basedOn w:val="ASDEFCONNormal"/>
    <w:rsid w:val="00E61A6A"/>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E61A6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61A6A"/>
    <w:pPr>
      <w:keepNext/>
      <w:spacing w:before="240"/>
    </w:pPr>
    <w:rPr>
      <w:rFonts w:eastAsia="Calibri"/>
      <w:b/>
      <w:caps/>
      <w:szCs w:val="20"/>
      <w:lang w:eastAsia="en-US"/>
    </w:rPr>
  </w:style>
  <w:style w:type="paragraph" w:customStyle="1" w:styleId="ASDEFCONSublist">
    <w:name w:val="ASDEFCON Sublist"/>
    <w:basedOn w:val="ASDEFCONNormal"/>
    <w:rsid w:val="00E61A6A"/>
    <w:pPr>
      <w:numPr>
        <w:numId w:val="23"/>
      </w:numPr>
    </w:pPr>
    <w:rPr>
      <w:iCs/>
    </w:rPr>
  </w:style>
  <w:style w:type="paragraph" w:customStyle="1" w:styleId="ASDEFCONRecitals">
    <w:name w:val="ASDEFCON Recitals"/>
    <w:basedOn w:val="ASDEFCONNormal"/>
    <w:link w:val="ASDEFCONRecitalsCharChar"/>
    <w:rsid w:val="00E61A6A"/>
    <w:pPr>
      <w:numPr>
        <w:numId w:val="15"/>
      </w:numPr>
    </w:pPr>
  </w:style>
  <w:style w:type="character" w:customStyle="1" w:styleId="ASDEFCONRecitalsCharChar">
    <w:name w:val="ASDEFCON Recitals Char Char"/>
    <w:link w:val="ASDEFCONRecitals"/>
    <w:rsid w:val="00E61A6A"/>
    <w:rPr>
      <w:rFonts w:ascii="Arial" w:hAnsi="Arial"/>
      <w:color w:val="000000"/>
      <w:szCs w:val="40"/>
    </w:rPr>
  </w:style>
  <w:style w:type="paragraph" w:customStyle="1" w:styleId="NoteList-ASDEFCON">
    <w:name w:val="Note List - ASDEFCON"/>
    <w:basedOn w:val="ASDEFCONNormal"/>
    <w:rsid w:val="00E61A6A"/>
    <w:pPr>
      <w:numPr>
        <w:numId w:val="16"/>
      </w:numPr>
    </w:pPr>
    <w:rPr>
      <w:b/>
      <w:bCs/>
      <w:i/>
    </w:rPr>
  </w:style>
  <w:style w:type="paragraph" w:customStyle="1" w:styleId="NoteBullets-ASDEFCON">
    <w:name w:val="Note Bullets - ASDEFCON"/>
    <w:basedOn w:val="ASDEFCONNormal"/>
    <w:rsid w:val="00E61A6A"/>
    <w:pPr>
      <w:numPr>
        <w:numId w:val="17"/>
      </w:numPr>
    </w:pPr>
    <w:rPr>
      <w:b/>
      <w:i/>
    </w:rPr>
  </w:style>
  <w:style w:type="paragraph" w:styleId="Caption">
    <w:name w:val="caption"/>
    <w:basedOn w:val="Normal"/>
    <w:next w:val="Normal"/>
    <w:qFormat/>
    <w:rsid w:val="00E61A6A"/>
    <w:rPr>
      <w:b/>
      <w:bCs/>
      <w:szCs w:val="20"/>
    </w:rPr>
  </w:style>
  <w:style w:type="paragraph" w:customStyle="1" w:styleId="ASDEFCONOperativePartListLV1">
    <w:name w:val="ASDEFCON Operative Part List LV1"/>
    <w:basedOn w:val="ASDEFCONNormal"/>
    <w:rsid w:val="00E61A6A"/>
    <w:pPr>
      <w:numPr>
        <w:numId w:val="19"/>
      </w:numPr>
    </w:pPr>
    <w:rPr>
      <w:iCs/>
    </w:rPr>
  </w:style>
  <w:style w:type="paragraph" w:customStyle="1" w:styleId="ASDEFCONOperativePartListLV2">
    <w:name w:val="ASDEFCON Operative Part List LV2"/>
    <w:basedOn w:val="ASDEFCONOperativePartListLV1"/>
    <w:rsid w:val="00E61A6A"/>
    <w:pPr>
      <w:numPr>
        <w:ilvl w:val="1"/>
      </w:numPr>
    </w:pPr>
  </w:style>
  <w:style w:type="paragraph" w:customStyle="1" w:styleId="ASDEFCONOptionSpace">
    <w:name w:val="ASDEFCON Option Space"/>
    <w:basedOn w:val="ASDEFCONNormal"/>
    <w:rsid w:val="00E61A6A"/>
    <w:pPr>
      <w:spacing w:after="0"/>
    </w:pPr>
    <w:rPr>
      <w:bCs/>
      <w:color w:val="FFFFFF"/>
      <w:sz w:val="8"/>
    </w:rPr>
  </w:style>
  <w:style w:type="paragraph" w:customStyle="1" w:styleId="ATTANNReferencetoCOC">
    <w:name w:val="ATT/ANN Reference to COC"/>
    <w:basedOn w:val="ASDEFCONNormal"/>
    <w:rsid w:val="00E61A6A"/>
    <w:pPr>
      <w:keepNext/>
      <w:jc w:val="right"/>
    </w:pPr>
    <w:rPr>
      <w:i/>
      <w:iCs/>
      <w:szCs w:val="20"/>
    </w:rPr>
  </w:style>
  <w:style w:type="paragraph" w:customStyle="1" w:styleId="ASDEFCONHeaderFooterCenter">
    <w:name w:val="ASDEFCON Header/Footer Center"/>
    <w:basedOn w:val="ASDEFCONHeaderFooterLeft"/>
    <w:rsid w:val="00E61A6A"/>
    <w:pPr>
      <w:jc w:val="center"/>
    </w:pPr>
    <w:rPr>
      <w:szCs w:val="20"/>
    </w:rPr>
  </w:style>
  <w:style w:type="paragraph" w:customStyle="1" w:styleId="ASDEFCONHeaderFooterRight">
    <w:name w:val="ASDEFCON Header/Footer Right"/>
    <w:basedOn w:val="ASDEFCONHeaderFooterLeft"/>
    <w:rsid w:val="00E61A6A"/>
    <w:pPr>
      <w:jc w:val="right"/>
    </w:pPr>
    <w:rPr>
      <w:szCs w:val="20"/>
    </w:rPr>
  </w:style>
  <w:style w:type="paragraph" w:customStyle="1" w:styleId="ASDEFCONHeaderFooterClassification">
    <w:name w:val="ASDEFCON Header/Footer Classification"/>
    <w:basedOn w:val="ASDEFCONHeaderFooterLeft"/>
    <w:rsid w:val="00E61A6A"/>
    <w:pPr>
      <w:jc w:val="center"/>
    </w:pPr>
    <w:rPr>
      <w:rFonts w:ascii="Arial Bold" w:hAnsi="Arial Bold"/>
      <w:b/>
      <w:bCs/>
      <w:caps/>
      <w:sz w:val="20"/>
    </w:rPr>
  </w:style>
  <w:style w:type="paragraph" w:customStyle="1" w:styleId="GuideLV3Head-ASDEFCON">
    <w:name w:val="Guide LV3 Head - ASDEFCON"/>
    <w:basedOn w:val="ASDEFCONNormal"/>
    <w:rsid w:val="00E61A6A"/>
    <w:pPr>
      <w:keepNext/>
    </w:pPr>
    <w:rPr>
      <w:rFonts w:eastAsia="Calibri"/>
      <w:b/>
      <w:szCs w:val="22"/>
      <w:lang w:eastAsia="en-US"/>
    </w:rPr>
  </w:style>
  <w:style w:type="paragraph" w:customStyle="1" w:styleId="GuideSublistLv2-ASDEFCON">
    <w:name w:val="Guide Sublist Lv2 - ASDEFCON"/>
    <w:basedOn w:val="ASDEFCONNormal"/>
    <w:rsid w:val="00E61A6A"/>
    <w:pPr>
      <w:numPr>
        <w:ilvl w:val="1"/>
        <w:numId w:val="22"/>
      </w:numPr>
    </w:pPr>
  </w:style>
  <w:style w:type="character" w:customStyle="1" w:styleId="Heading2Char">
    <w:name w:val="Heading 2 Char"/>
    <w:aliases w:val="Para2 Char"/>
    <w:link w:val="Heading2"/>
    <w:rsid w:val="00E61A6A"/>
    <w:rPr>
      <w:rFonts w:ascii="Cambria" w:hAnsi="Cambria"/>
      <w:b/>
      <w:bCs/>
      <w:color w:val="4F81BD"/>
      <w:sz w:val="26"/>
      <w:szCs w:val="26"/>
    </w:rPr>
  </w:style>
  <w:style w:type="character" w:styleId="Hyperlink">
    <w:name w:val="Hyperlink"/>
    <w:uiPriority w:val="99"/>
    <w:unhideWhenUsed/>
    <w:rsid w:val="00E61A6A"/>
    <w:rPr>
      <w:color w:val="0000FF"/>
      <w:u w:val="single"/>
    </w:rPr>
  </w:style>
  <w:style w:type="paragraph" w:customStyle="1" w:styleId="ASDEFCONList">
    <w:name w:val="ASDEFCON List"/>
    <w:basedOn w:val="ASDEFCONNormal"/>
    <w:qFormat/>
    <w:rsid w:val="00E61A6A"/>
    <w:pPr>
      <w:numPr>
        <w:numId w:val="24"/>
      </w:numPr>
    </w:pPr>
  </w:style>
  <w:style w:type="paragraph" w:styleId="TOCHeading">
    <w:name w:val="TOC Heading"/>
    <w:basedOn w:val="Heading1"/>
    <w:next w:val="Normal"/>
    <w:uiPriority w:val="39"/>
    <w:semiHidden/>
    <w:unhideWhenUsed/>
    <w:qFormat/>
    <w:rsid w:val="00E76834"/>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1A0EE0"/>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7D554A"/>
    <w:rPr>
      <w:rFonts w:ascii="Arial" w:hAnsi="Arial" w:cs="Arial"/>
      <w:b/>
      <w:bCs/>
      <w:kern w:val="32"/>
      <w:sz w:val="32"/>
      <w:szCs w:val="32"/>
    </w:rPr>
  </w:style>
  <w:style w:type="paragraph" w:styleId="Revision">
    <w:name w:val="Revision"/>
    <w:hidden/>
    <w:uiPriority w:val="99"/>
    <w:semiHidden/>
    <w:rsid w:val="009B7C4A"/>
    <w:rPr>
      <w:rFonts w:ascii="Arial" w:hAnsi="Arial"/>
      <w:szCs w:val="24"/>
    </w:rPr>
  </w:style>
  <w:style w:type="character" w:customStyle="1" w:styleId="COTCOCLV4-ASDEFCONChar">
    <w:name w:val="COT/COC LV4 - ASDEFCON Char"/>
    <w:link w:val="COTCOCLV4-ASDEFCON"/>
    <w:rsid w:val="00F07B28"/>
    <w:rPr>
      <w:rFonts w:ascii="Arial" w:hAnsi="Arial"/>
      <w:color w:val="000000"/>
      <w:szCs w:val="40"/>
    </w:rPr>
  </w:style>
  <w:style w:type="character" w:customStyle="1" w:styleId="COTCOCLV3-ASDEFCONChar">
    <w:name w:val="COT/COC LV3 - ASDEFCON Char"/>
    <w:basedOn w:val="ASDEFCONNormalChar"/>
    <w:link w:val="COTCOCLV3-ASDEFCON"/>
    <w:rsid w:val="00F07B28"/>
    <w:rPr>
      <w:rFonts w:ascii="Arial" w:hAnsi="Arial"/>
      <w:color w:val="00000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microsoft.com/office/2016/09/relationships/commentsIds" Target="commentsId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 A U S _ O N P R E M ! 3 0 4 6 2 7 1 2 3 . 1 < / d o c u m e n t i d >  
     < s e n d e r i d > M H O D G E < / s e n d e r i d >  
     < s e n d e r e m a i l > M A D E L E I N E . H O D G E @ A S H U R S T . C O M < / s e n d e r e m a i l >  
     < l a s t m o d i f i e d > 2 0 2 3 - 0 6 - 2 8 T 1 0 : 1 0 : 0 0 . 0 0 0 0 0 0 0 + 1 0 : 0 0 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D5E33-1FE2-48E9-893D-06CF7B86643F}">
  <ds:schemaRefs>
    <ds:schemaRef ds:uri="http://www.imanage.com/work/xmlschema"/>
  </ds:schemaRefs>
</ds:datastoreItem>
</file>

<file path=customXml/itemProps2.xml><?xml version="1.0" encoding="utf-8"?>
<ds:datastoreItem xmlns:ds="http://schemas.openxmlformats.org/officeDocument/2006/customXml" ds:itemID="{9F0C4BB7-C52F-4586-A668-839344A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106</TotalTime>
  <Pages>3</Pages>
  <Words>997</Words>
  <Characters>5417</Characters>
  <Application>Microsoft Office Word</Application>
  <DocSecurity>0</DocSecurity>
  <Lines>138</Lines>
  <Paragraphs>77</Paragraphs>
  <ScaleCrop>false</ScaleCrop>
  <HeadingPairs>
    <vt:vector size="2" baseType="variant">
      <vt:variant>
        <vt:lpstr>Title</vt:lpstr>
      </vt:variant>
      <vt:variant>
        <vt:i4>1</vt:i4>
      </vt:variant>
    </vt:vector>
  </HeadingPairs>
  <TitlesOfParts>
    <vt:vector size="1" baseType="lpstr">
      <vt:lpstr>ASDEFCON (Complex Services)</vt:lpstr>
    </vt:vector>
  </TitlesOfParts>
  <Company>Department of Defence</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Services)</dc:title>
  <dc:subject>Attachment to Draft Conditions of Contract</dc:subject>
  <dc:creator>ASDEFCON and Contracting Initiatives</dc:creator>
  <cp:lastModifiedBy>Laursen, Christian MR</cp:lastModifiedBy>
  <cp:revision>34</cp:revision>
  <cp:lastPrinted>2011-05-25T06:51:00Z</cp:lastPrinted>
  <dcterms:created xsi:type="dcterms:W3CDTF">2022-09-30T00:33:00Z</dcterms:created>
  <dcterms:modified xsi:type="dcterms:W3CDTF">2024-08-22T05:17:00Z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V1.1</vt:lpwstr>
  </property>
  <property fmtid="{D5CDD505-2E9C-101B-9397-08002B2CF9AE}" pid="3" name="Objective-Id">
    <vt:lpwstr>BM75410637</vt:lpwstr>
  </property>
  <property fmtid="{D5CDD505-2E9C-101B-9397-08002B2CF9AE}" pid="4" name="Objective-Title">
    <vt:lpwstr>010_ASDEFCON_CSER_V1_1_COC_ATTB_ANNB_MilestoneScheduleandCriteria</vt:lpwstr>
  </property>
  <property fmtid="{D5CDD505-2E9C-101B-9397-08002B2CF9AE}" pid="5" name="Objective-Comment">
    <vt:lpwstr/>
  </property>
  <property fmtid="{D5CDD505-2E9C-101B-9397-08002B2CF9AE}" pid="6" name="Objective-CreationStamp">
    <vt:filetime>2024-05-29T03:39:24Z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2024-08-15T01:48:11Z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(Complex Services)</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Annex to Draft Conditions of Contract</vt:lpwstr>
  </property>
  <property fmtid="{D5CDD505-2E9C-101B-9397-08002B2CF9AE}" pid="26" name="Objective-Reason for Security Classification Change [system]">
    <vt:lpwstr/>
  </property>
</Properties>
</file>