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B51B7" w14:textId="77777777" w:rsidR="00E67749" w:rsidRPr="009F1B4B" w:rsidRDefault="00E67749" w:rsidP="00CD0ECB">
      <w:pPr>
        <w:pStyle w:val="ASDEFCONTitle"/>
      </w:pPr>
      <w:r w:rsidRPr="009F1B4B">
        <w:t>GENERAL INFORMATION FOR USERS</w:t>
      </w:r>
    </w:p>
    <w:p w14:paraId="04AAD3FE" w14:textId="77777777" w:rsidR="00E67749" w:rsidRPr="0028297E" w:rsidRDefault="0039473A" w:rsidP="00CD0ECB">
      <w:pPr>
        <w:pStyle w:val="ASDEFCONTitle"/>
      </w:pPr>
      <w:r>
        <w:t>PURPOSE</w:t>
      </w:r>
      <w:r w:rsidRPr="0028297E">
        <w:t xml:space="preserve"> </w:t>
      </w:r>
      <w:r w:rsidR="00E67749" w:rsidRPr="0028297E">
        <w:t xml:space="preserve">OF </w:t>
      </w:r>
      <w:r w:rsidR="00E67749" w:rsidRPr="009F2B4C">
        <w:t>ASDEFCON (STANDING OFFER FOR GOODS)</w:t>
      </w:r>
    </w:p>
    <w:p w14:paraId="28936A14" w14:textId="77777777" w:rsidR="00E67749" w:rsidRPr="00CD0ECB" w:rsidRDefault="00E67749" w:rsidP="00CD0ECB">
      <w:pPr>
        <w:pStyle w:val="ASDEFCONOperativePartListLV1"/>
      </w:pPr>
      <w:r w:rsidRPr="00CD0ECB">
        <w:t xml:space="preserve">ASDEFCON (Standing Offer for Goods) is </w:t>
      </w:r>
      <w:r w:rsidR="00331421" w:rsidRPr="00CD0ECB">
        <w:t xml:space="preserve">a tendering and contracting template </w:t>
      </w:r>
      <w:r w:rsidRPr="00CD0ECB">
        <w:t xml:space="preserve">for use when establishing a standing offer arrangement with a supplier or a panel of suppliers for </w:t>
      </w:r>
      <w:r w:rsidR="00331421" w:rsidRPr="00CD0ECB">
        <w:t>off-the-shelf</w:t>
      </w:r>
      <w:r w:rsidRPr="00CD0ECB">
        <w:t xml:space="preserve"> procurement of goods.  By using a standard template for </w:t>
      </w:r>
      <w:r w:rsidR="00693FA2" w:rsidRPr="00CD0ECB">
        <w:t>these types of standing offer arrangements</w:t>
      </w:r>
      <w:r w:rsidRPr="00CD0ECB">
        <w:t>, the Department of Defence aims to minimise the cost of tendering and the duration of negotiations.</w:t>
      </w:r>
    </w:p>
    <w:p w14:paraId="3A593A96" w14:textId="28A2293C" w:rsidR="00693FA2" w:rsidRPr="0028297E" w:rsidRDefault="00693FA2" w:rsidP="00CD0ECB">
      <w:pPr>
        <w:pStyle w:val="ASDEFCONOperativePartListLV1"/>
      </w:pPr>
      <w:r>
        <w:t xml:space="preserve">For further information on selecting and tailoring </w:t>
      </w:r>
      <w:r>
        <w:rPr>
          <w:i/>
        </w:rPr>
        <w:t>ASDEFCON (Standing Offer for Goods)</w:t>
      </w:r>
      <w:r>
        <w:t xml:space="preserve">, template users should refer to the </w:t>
      </w:r>
      <w:r>
        <w:rPr>
          <w:i/>
        </w:rPr>
        <w:t>Contract Template Selection and Tailoring Guide</w:t>
      </w:r>
      <w:r>
        <w:t xml:space="preserve"> which can be accessed via the </w:t>
      </w:r>
      <w:r w:rsidR="003200CB">
        <w:t xml:space="preserve">intranet </w:t>
      </w:r>
      <w:r>
        <w:t xml:space="preserve">and internet sites listed in </w:t>
      </w:r>
      <w:r w:rsidRPr="00EE196E">
        <w:t xml:space="preserve">paragraph </w:t>
      </w:r>
      <w:r w:rsidR="00D16701">
        <w:fldChar w:fldCharType="begin"/>
      </w:r>
      <w:r w:rsidR="00D16701">
        <w:instrText xml:space="preserve"> REF _Ref409105152 \r \h </w:instrText>
      </w:r>
      <w:r w:rsidR="00CD0ECB">
        <w:instrText xml:space="preserve"> \* MERGEFORMAT </w:instrText>
      </w:r>
      <w:r w:rsidR="00D16701">
        <w:fldChar w:fldCharType="separate"/>
      </w:r>
      <w:r w:rsidR="001530C3">
        <w:t>12</w:t>
      </w:r>
      <w:r w:rsidR="00D16701">
        <w:fldChar w:fldCharType="end"/>
      </w:r>
      <w:r w:rsidRPr="00A4657D">
        <w:t>.</w:t>
      </w:r>
    </w:p>
    <w:p w14:paraId="0C29649D" w14:textId="77777777" w:rsidR="00E67749" w:rsidRPr="0028297E" w:rsidRDefault="00E67749" w:rsidP="00CD0ECB">
      <w:pPr>
        <w:pStyle w:val="ASDEFCONOperativePartListLV1"/>
      </w:pPr>
      <w:r w:rsidRPr="009F2B4C">
        <w:rPr>
          <w:i/>
        </w:rPr>
        <w:t>ASDEFCON (Standing Offer for Goods)</w:t>
      </w:r>
      <w:r w:rsidRPr="0028297E">
        <w:t xml:space="preserve"> is designed for procurements that are both </w:t>
      </w:r>
      <w:r w:rsidR="008A6E2F">
        <w:t>subject to and not subject to the additional rules as detailed in Division 2</w:t>
      </w:r>
      <w:r w:rsidR="008A6E2F" w:rsidRPr="00ED4234">
        <w:t xml:space="preserve"> </w:t>
      </w:r>
      <w:r w:rsidRPr="0028297E">
        <w:t xml:space="preserve">of the </w:t>
      </w:r>
      <w:r w:rsidRPr="009F2B4C">
        <w:rPr>
          <w:i/>
        </w:rPr>
        <w:t xml:space="preserve">Commonwealth Procurement </w:t>
      </w:r>
      <w:r w:rsidR="008A6E2F">
        <w:rPr>
          <w:i/>
        </w:rPr>
        <w:t>Rules</w:t>
      </w:r>
      <w:r w:rsidRPr="009F2B4C">
        <w:rPr>
          <w:i/>
        </w:rPr>
        <w:t>.</w:t>
      </w:r>
      <w:r w:rsidRPr="0028297E">
        <w:t xml:space="preserve"> </w:t>
      </w:r>
      <w:r w:rsidR="009F1B4B">
        <w:t xml:space="preserve"> </w:t>
      </w:r>
      <w:r w:rsidRPr="0028297E">
        <w:t xml:space="preserve">For information on whether </w:t>
      </w:r>
      <w:r w:rsidR="00AD4E85" w:rsidRPr="0028297E">
        <w:t xml:space="preserve">a </w:t>
      </w:r>
      <w:r w:rsidR="000E39E4" w:rsidRPr="0028297E">
        <w:t>procurement</w:t>
      </w:r>
      <w:r w:rsidRPr="0028297E">
        <w:t xml:space="preserve"> is </w:t>
      </w:r>
      <w:r w:rsidR="00070BF5">
        <w:t xml:space="preserve">subject to the </w:t>
      </w:r>
      <w:r w:rsidR="008A6E2F">
        <w:t>additional rules</w:t>
      </w:r>
      <w:r w:rsidR="00FA6CD9">
        <w:t>,</w:t>
      </w:r>
      <w:r w:rsidRPr="0028297E">
        <w:t xml:space="preserve"> </w:t>
      </w:r>
      <w:r w:rsidR="000B0752">
        <w:t xml:space="preserve">refer to </w:t>
      </w:r>
      <w:r w:rsidRPr="0028297E">
        <w:t xml:space="preserve">the </w:t>
      </w:r>
      <w:r w:rsidR="0030099B" w:rsidRPr="0013514B">
        <w:t>DPPM</w:t>
      </w:r>
      <w:r w:rsidRPr="009F2B4C">
        <w:rPr>
          <w:i/>
        </w:rPr>
        <w:t>.</w:t>
      </w:r>
    </w:p>
    <w:p w14:paraId="2B057F87" w14:textId="77777777" w:rsidR="00E67749" w:rsidRPr="0028297E" w:rsidRDefault="00E67749" w:rsidP="00CD0ECB">
      <w:pPr>
        <w:pStyle w:val="ASDEFCONOperativePartListLV1"/>
      </w:pPr>
      <w:r w:rsidRPr="009F2B4C">
        <w:rPr>
          <w:i/>
        </w:rPr>
        <w:t>ASDEFCON (Standing Offer for Goods)</w:t>
      </w:r>
      <w:r w:rsidRPr="0028297E">
        <w:t xml:space="preserve"> serves to promote value for money because long-term supplier arrangements enable the Commonwealth to negotiate more favourable terms and conditions and reduce the administrative burden of issuing and negotiating numerous requests for tender.  </w:t>
      </w:r>
      <w:r w:rsidRPr="0028297E">
        <w:rPr>
          <w:i/>
        </w:rPr>
        <w:t>ASDEFCON</w:t>
      </w:r>
      <w:r w:rsidRPr="0028297E">
        <w:t xml:space="preserve"> </w:t>
      </w:r>
      <w:r w:rsidRPr="009F2B4C">
        <w:rPr>
          <w:i/>
        </w:rPr>
        <w:t>(Standing Offer for Goods)</w:t>
      </w:r>
      <w:r w:rsidRPr="0028297E">
        <w:t xml:space="preserve"> provides a tool that enables the Department of Defence to:</w:t>
      </w:r>
    </w:p>
    <w:p w14:paraId="0CFA2321" w14:textId="77777777" w:rsidR="00E67749" w:rsidRPr="008C24A0" w:rsidRDefault="00E67749" w:rsidP="00CD0ECB">
      <w:pPr>
        <w:pStyle w:val="ASDEFCONOperativePartListLV2"/>
      </w:pPr>
      <w:r w:rsidRPr="008C24A0">
        <w:t>fulfil frequently arising regular requirements;</w:t>
      </w:r>
    </w:p>
    <w:p w14:paraId="73226E98" w14:textId="77777777" w:rsidR="005010FC" w:rsidRDefault="00E67749" w:rsidP="00CD0ECB">
      <w:pPr>
        <w:pStyle w:val="ASDEFCONOperativePartListLV2"/>
      </w:pPr>
      <w:r w:rsidRPr="008C24A0">
        <w:t xml:space="preserve">buy goods regularly where storage of large </w:t>
      </w:r>
      <w:r w:rsidR="005010FC">
        <w:t>quantities is impractical or non-viable; and</w:t>
      </w:r>
    </w:p>
    <w:p w14:paraId="0AF9B39C" w14:textId="77777777" w:rsidR="00BD4A85" w:rsidRDefault="005010FC" w:rsidP="00CD0ECB">
      <w:pPr>
        <w:pStyle w:val="ASDEFCONOperativePartListLV2"/>
      </w:pPr>
      <w:proofErr w:type="gramStart"/>
      <w:r>
        <w:t>obtain</w:t>
      </w:r>
      <w:proofErr w:type="gramEnd"/>
      <w:r>
        <w:t xml:space="preserve"> value for money where the timing and quantity of a requirement cannot be determined in advance.</w:t>
      </w:r>
      <w:r w:rsidR="00E67749" w:rsidRPr="0028297E">
        <w:t xml:space="preserve"> </w:t>
      </w:r>
    </w:p>
    <w:p w14:paraId="286C1ADA" w14:textId="77777777" w:rsidR="00E67749" w:rsidRPr="0028297E" w:rsidRDefault="00BD4A85" w:rsidP="00CD0ECB">
      <w:pPr>
        <w:pStyle w:val="ASDEFCONOperativePartListLV1"/>
      </w:pPr>
      <w:r>
        <w:rPr>
          <w:szCs w:val="20"/>
        </w:rPr>
        <w:t xml:space="preserve">The rationale for using a deed to establish </w:t>
      </w:r>
      <w:r>
        <w:rPr>
          <w:i/>
          <w:szCs w:val="20"/>
        </w:rPr>
        <w:t>ASDEFCON (Standing Offer for Goods)</w:t>
      </w:r>
      <w:r>
        <w:rPr>
          <w:szCs w:val="20"/>
        </w:rPr>
        <w:t xml:space="preserve"> </w:t>
      </w:r>
      <w:r w:rsidR="00E67749" w:rsidRPr="0028297E">
        <w:t>is to overcome the legal contracting requirement of consideration.  An essential requirement for a valid contract is that the agreement made between the parties must constitute an exchange</w:t>
      </w:r>
      <w:r w:rsidR="00001670" w:rsidRPr="0028297E">
        <w:t xml:space="preserve"> of something of value</w:t>
      </w:r>
      <w:r w:rsidR="00E67749" w:rsidRPr="0028297E">
        <w:t xml:space="preserve">.  This exchange is called consideration, that is, each party, by entering into the agreement provides consideration to the other.  Consideration usually consists of a promise of something of value (money, goods, services, giving up a right, </w:t>
      </w:r>
      <w:proofErr w:type="spellStart"/>
      <w:r w:rsidR="00E67749" w:rsidRPr="0028297E">
        <w:t>etc</w:t>
      </w:r>
      <w:proofErr w:type="spellEnd"/>
      <w:r w:rsidR="00E67749" w:rsidRPr="0028297E">
        <w:t>) but it can consist of the actual delivery of money, goods, services, etc.  If consideration is not present in an agreement then it is not a contract.</w:t>
      </w:r>
    </w:p>
    <w:p w14:paraId="564ED2FE" w14:textId="77777777" w:rsidR="00E67749" w:rsidRPr="0028297E" w:rsidRDefault="00E67749" w:rsidP="00CD0ECB">
      <w:pPr>
        <w:pStyle w:val="ASDEFCONOperativePartListLV1"/>
      </w:pPr>
      <w:r w:rsidRPr="00CD0ECB">
        <w:t xml:space="preserve">The value of using a deed to establish a legal obligation is to overcome the enforceability problems of not having a contract.  Therefore the benefit of using a </w:t>
      </w:r>
      <w:r w:rsidR="00800749" w:rsidRPr="00CD0ECB">
        <w:t>d</w:t>
      </w:r>
      <w:r w:rsidRPr="00CD0ECB">
        <w:t xml:space="preserve">eed to establish ASDEFCON (Standing Offer for Goods) is that a legally enforceable set of terms and conditions for the provision of a requirement can be established with a supplier without the need for further negotiation.  The Contract is formed by the issue of a simple ‘official order’ under the Deed’s already established terms and conditions.  A standing offer deed arrangement can therefore be used to facilitate routine purchasing of goods over a specified period of time, under </w:t>
      </w:r>
      <w:r w:rsidR="0061409A" w:rsidRPr="00CD0ECB">
        <w:t xml:space="preserve">a </w:t>
      </w:r>
      <w:r w:rsidRPr="00CD0ECB">
        <w:t>previously agreed set legal terms and conditions</w:t>
      </w:r>
      <w:r w:rsidRPr="0028297E">
        <w:t>.</w:t>
      </w:r>
    </w:p>
    <w:p w14:paraId="29014426" w14:textId="77777777" w:rsidR="00E67749" w:rsidRPr="00881573" w:rsidRDefault="00E67749" w:rsidP="00CD0ECB">
      <w:pPr>
        <w:pStyle w:val="ASDEFCONTitle"/>
      </w:pPr>
      <w:r w:rsidRPr="00881573">
        <w:t xml:space="preserve">Structure of </w:t>
      </w:r>
      <w:r w:rsidRPr="009F2B4C">
        <w:t xml:space="preserve">ASDEFCON (Standing Offer for </w:t>
      </w:r>
      <w:r w:rsidR="006C15D1" w:rsidRPr="009F2B4C">
        <w:t>goods</w:t>
      </w:r>
      <w:r w:rsidRPr="009F2B4C">
        <w:t>)</w:t>
      </w:r>
    </w:p>
    <w:p w14:paraId="30A03288" w14:textId="77777777" w:rsidR="00E67749" w:rsidRPr="0028297E" w:rsidRDefault="00E67749" w:rsidP="00CD0ECB">
      <w:pPr>
        <w:pStyle w:val="ASDEFCONOperativePartListLV1"/>
      </w:pPr>
      <w:r w:rsidRPr="0028297E">
        <w:rPr>
          <w:i/>
        </w:rPr>
        <w:t>ASDEFCON</w:t>
      </w:r>
      <w:r w:rsidRPr="0028297E">
        <w:t xml:space="preserve"> </w:t>
      </w:r>
      <w:r w:rsidRPr="009F2B4C">
        <w:rPr>
          <w:i/>
        </w:rPr>
        <w:t>(Standing Offer for Goods)</w:t>
      </w:r>
      <w:r w:rsidRPr="0028297E">
        <w:t xml:space="preserve"> contains the following sections:</w:t>
      </w:r>
    </w:p>
    <w:p w14:paraId="0CBF6540" w14:textId="77777777" w:rsidR="00E67749" w:rsidRPr="0028297E" w:rsidRDefault="00E67749" w:rsidP="00CD0ECB">
      <w:pPr>
        <w:pStyle w:val="ASDEFCONOperativePartListLV2"/>
      </w:pPr>
      <w:r w:rsidRPr="0028297E">
        <w:t>Preliminary pages</w:t>
      </w:r>
      <w:r w:rsidR="009520AD">
        <w:t xml:space="preserve"> – including </w:t>
      </w:r>
      <w:r w:rsidR="000F21A7">
        <w:t xml:space="preserve">the </w:t>
      </w:r>
      <w:r w:rsidR="009520AD">
        <w:t>covering letter</w:t>
      </w:r>
      <w:r w:rsidR="00CC2B12" w:rsidRPr="00CC2B12">
        <w:t xml:space="preserve"> </w:t>
      </w:r>
      <w:r w:rsidR="00CC2B12">
        <w:t>with Matrix of Changes attachment</w:t>
      </w:r>
      <w:r w:rsidR="0074393E" w:rsidRPr="0028297E">
        <w:t>;</w:t>
      </w:r>
    </w:p>
    <w:p w14:paraId="259BF38F" w14:textId="77777777" w:rsidR="00E67749" w:rsidRPr="0028297E" w:rsidRDefault="00E67749" w:rsidP="00CD0ECB">
      <w:pPr>
        <w:pStyle w:val="ASDEFCONOperativePartListLV2"/>
      </w:pPr>
      <w:r w:rsidRPr="0028297E">
        <w:t xml:space="preserve">Part 1 – </w:t>
      </w:r>
      <w:r w:rsidR="00CC2B12">
        <w:t>C</w:t>
      </w:r>
      <w:r w:rsidRPr="0028297E">
        <w:t xml:space="preserve">onditions of </w:t>
      </w:r>
      <w:r w:rsidR="00CC2B12">
        <w:t>T</w:t>
      </w:r>
      <w:r w:rsidRPr="0028297E">
        <w:t xml:space="preserve">ender - including </w:t>
      </w:r>
      <w:r w:rsidR="009520AD">
        <w:t>a</w:t>
      </w:r>
      <w:r w:rsidRPr="0028297E">
        <w:t>nnexes; and</w:t>
      </w:r>
    </w:p>
    <w:p w14:paraId="6ADB8E56" w14:textId="77777777" w:rsidR="00E67749" w:rsidRPr="0028297E" w:rsidRDefault="00E67749" w:rsidP="00CD0ECB">
      <w:pPr>
        <w:pStyle w:val="ASDEFCONOperativePartListLV2"/>
      </w:pPr>
      <w:r w:rsidRPr="0028297E">
        <w:t xml:space="preserve">Part 2 – </w:t>
      </w:r>
      <w:r w:rsidR="00CC2B12">
        <w:t>D</w:t>
      </w:r>
      <w:r w:rsidRPr="0028297E">
        <w:t xml:space="preserve">raft </w:t>
      </w:r>
      <w:r w:rsidR="00CC2B12">
        <w:t>C</w:t>
      </w:r>
      <w:r w:rsidRPr="0028297E">
        <w:t xml:space="preserve">onditions of </w:t>
      </w:r>
      <w:r w:rsidR="00CC2B12">
        <w:t>D</w:t>
      </w:r>
      <w:r w:rsidRPr="0028297E">
        <w:t xml:space="preserve">eed - including </w:t>
      </w:r>
      <w:r w:rsidR="009520AD">
        <w:t>a</w:t>
      </w:r>
      <w:r w:rsidRPr="0028297E">
        <w:t>ttachments.</w:t>
      </w:r>
    </w:p>
    <w:p w14:paraId="03F06DD6" w14:textId="77777777" w:rsidR="00E67749" w:rsidRPr="0028297E" w:rsidRDefault="009C4D44" w:rsidP="00CD0ECB">
      <w:pPr>
        <w:pStyle w:val="ASDEFCONTitle"/>
      </w:pPr>
      <w:r>
        <w:t>amendments</w:t>
      </w:r>
      <w:r w:rsidR="00E67749" w:rsidRPr="0028297E">
        <w:t xml:space="preserve"> TO </w:t>
      </w:r>
      <w:r w:rsidR="00E67749" w:rsidRPr="00881573">
        <w:t>ASDEFCON</w:t>
      </w:r>
      <w:r w:rsidR="00E67749" w:rsidRPr="0028297E">
        <w:t xml:space="preserve"> </w:t>
      </w:r>
      <w:r w:rsidR="00E67749" w:rsidRPr="00D1293B">
        <w:t>(STANDING OFFER FOR GOODS)</w:t>
      </w:r>
    </w:p>
    <w:p w14:paraId="39B25022" w14:textId="66AC89DA" w:rsidR="0049230E" w:rsidRDefault="00E67749" w:rsidP="00CD0ECB">
      <w:pPr>
        <w:pStyle w:val="ASDEFCONOperativePartListLV1"/>
      </w:pPr>
      <w:r w:rsidRPr="009F2B4C">
        <w:rPr>
          <w:i/>
        </w:rPr>
        <w:t>ASDEFCON (Standing Offer for Goods)</w:t>
      </w:r>
      <w:r w:rsidRPr="0028297E">
        <w:t xml:space="preserve"> is a dynamic document that will be amended on an ‘as required’ basis to reflect changes in legislation, policy and procurement practices. </w:t>
      </w:r>
      <w:r w:rsidR="0049230E" w:rsidRPr="00ED4234">
        <w:t xml:space="preserve">Amendments </w:t>
      </w:r>
      <w:r w:rsidR="0049230E" w:rsidRPr="00ED4234">
        <w:lastRenderedPageBreak/>
        <w:t xml:space="preserve">to </w:t>
      </w:r>
      <w:r w:rsidR="0049230E" w:rsidRPr="00ED4234">
        <w:rPr>
          <w:i/>
        </w:rPr>
        <w:t>ASDEFCON (</w:t>
      </w:r>
      <w:r w:rsidR="0049230E" w:rsidRPr="009F2B4C">
        <w:rPr>
          <w:i/>
        </w:rPr>
        <w:t>Standing Offer for Goods</w:t>
      </w:r>
      <w:r w:rsidR="0049230E">
        <w:rPr>
          <w:i/>
        </w:rPr>
        <w:t>)</w:t>
      </w:r>
      <w:r w:rsidR="0049230E" w:rsidRPr="00ED4234">
        <w:rPr>
          <w:i/>
        </w:rPr>
        <w:t xml:space="preserve"> </w:t>
      </w:r>
      <w:r w:rsidR="0049230E" w:rsidRPr="00ED4234">
        <w:t xml:space="preserve">will be </w:t>
      </w:r>
      <w:r w:rsidR="0049230E">
        <w:t xml:space="preserve">released through updates to the current version or the issue of a new version of the template.  All updated and new versions will be issued on the </w:t>
      </w:r>
      <w:r w:rsidR="0061409A">
        <w:t>intranet</w:t>
      </w:r>
      <w:r w:rsidR="0049230E">
        <w:t xml:space="preserve"> and internet at the sites listed in paragraph </w:t>
      </w:r>
      <w:r w:rsidR="00D16701">
        <w:fldChar w:fldCharType="begin"/>
      </w:r>
      <w:r w:rsidR="00D16701">
        <w:instrText xml:space="preserve"> REF _Ref409105152 \r \h </w:instrText>
      </w:r>
      <w:r w:rsidR="00CD0ECB">
        <w:instrText xml:space="preserve"> \* MERGEFORMAT </w:instrText>
      </w:r>
      <w:r w:rsidR="00D16701">
        <w:fldChar w:fldCharType="separate"/>
      </w:r>
      <w:r w:rsidR="001530C3">
        <w:t>12</w:t>
      </w:r>
      <w:r w:rsidR="00D16701">
        <w:fldChar w:fldCharType="end"/>
      </w:r>
      <w:r w:rsidR="0049230E">
        <w:t>.</w:t>
      </w:r>
    </w:p>
    <w:p w14:paraId="08B8F455" w14:textId="72B58425" w:rsidR="00E67749" w:rsidRPr="0028297E" w:rsidRDefault="00E67749" w:rsidP="00CD0ECB">
      <w:pPr>
        <w:pStyle w:val="ASDEFCONOperativePartListLV1"/>
      </w:pPr>
      <w:r w:rsidRPr="0028297E">
        <w:t xml:space="preserve">Template users are also welcome to suggest changes to the template by using a Document Change Proposal (DCP) form.  A copy of the form can be downloaded from the addresses specified at paragraph </w:t>
      </w:r>
      <w:r w:rsidR="00D16701">
        <w:fldChar w:fldCharType="begin"/>
      </w:r>
      <w:r w:rsidR="00D16701">
        <w:instrText xml:space="preserve"> REF _Ref409105152 \r \h </w:instrText>
      </w:r>
      <w:r w:rsidR="00CD0ECB">
        <w:instrText xml:space="preserve"> \* MERGEFORMAT </w:instrText>
      </w:r>
      <w:r w:rsidR="00D16701">
        <w:fldChar w:fldCharType="separate"/>
      </w:r>
      <w:r w:rsidR="001530C3">
        <w:t>12</w:t>
      </w:r>
      <w:r w:rsidR="00D16701">
        <w:fldChar w:fldCharType="end"/>
      </w:r>
      <w:r w:rsidRPr="0028297E">
        <w:t>.</w:t>
      </w:r>
    </w:p>
    <w:p w14:paraId="3A821B66" w14:textId="77777777" w:rsidR="00A35B16" w:rsidRPr="00CD0ECB" w:rsidRDefault="0049230E" w:rsidP="00CD0ECB">
      <w:pPr>
        <w:pStyle w:val="ASDEFCONNormal"/>
        <w:rPr>
          <w:b/>
        </w:rPr>
      </w:pPr>
      <w:r w:rsidRPr="00CD0ECB">
        <w:rPr>
          <w:b/>
        </w:rPr>
        <w:t xml:space="preserve">CONTRACTING ASSISTANCE </w:t>
      </w:r>
      <w:r w:rsidR="000D45B4" w:rsidRPr="00CD0ECB">
        <w:rPr>
          <w:b/>
        </w:rPr>
        <w:t xml:space="preserve">AND </w:t>
      </w:r>
      <w:r w:rsidR="00A35B16" w:rsidRPr="00CD0ECB">
        <w:rPr>
          <w:b/>
        </w:rPr>
        <w:t>HELP DESK</w:t>
      </w:r>
    </w:p>
    <w:p w14:paraId="2C61EC93" w14:textId="77777777" w:rsidR="0049230E" w:rsidRDefault="00A35B16" w:rsidP="00CD0ECB">
      <w:pPr>
        <w:pStyle w:val="ASDEFCONOperativePartListLV1"/>
      </w:pPr>
      <w:bookmarkStart w:id="0" w:name="_Ref228681635"/>
      <w:r w:rsidRPr="0028297E">
        <w:t xml:space="preserve">Drafters requiring contracting advice </w:t>
      </w:r>
      <w:r w:rsidR="00DC7A36">
        <w:t xml:space="preserve">or assistance </w:t>
      </w:r>
      <w:r w:rsidRPr="0028297E">
        <w:t xml:space="preserve">should approach their </w:t>
      </w:r>
      <w:r w:rsidR="00503F97">
        <w:t xml:space="preserve">Group or Divisional </w:t>
      </w:r>
      <w:r w:rsidR="0049230E">
        <w:t>c</w:t>
      </w:r>
      <w:r w:rsidR="00503F97">
        <w:t xml:space="preserve">ontracting </w:t>
      </w:r>
      <w:r w:rsidR="0049230E">
        <w:t>s</w:t>
      </w:r>
      <w:r w:rsidR="00503F97">
        <w:t>upport areas</w:t>
      </w:r>
      <w:r w:rsidRPr="0028297E">
        <w:t xml:space="preserve"> in the first instance.  If the </w:t>
      </w:r>
      <w:r w:rsidR="00503F97">
        <w:t>relevant support officer</w:t>
      </w:r>
      <w:r w:rsidRPr="0028297E">
        <w:t xml:space="preserve"> is not known, </w:t>
      </w:r>
      <w:r w:rsidR="009A6223" w:rsidRPr="00ED4234">
        <w:t xml:space="preserve">drafters should </w:t>
      </w:r>
      <w:r w:rsidR="009A6223">
        <w:t xml:space="preserve">contact the relevant Executive Director Contracting (EDCON) in their respective Contracting </w:t>
      </w:r>
      <w:r w:rsidR="0049230E">
        <w:t xml:space="preserve">Services </w:t>
      </w:r>
      <w:r w:rsidR="009A6223">
        <w:t xml:space="preserve">area. </w:t>
      </w:r>
    </w:p>
    <w:p w14:paraId="43BD990C" w14:textId="389B7382" w:rsidR="00A35B16" w:rsidRPr="0028297E" w:rsidRDefault="0049230E" w:rsidP="00CD0ECB">
      <w:pPr>
        <w:pStyle w:val="ASDEFCONOperativePartListLV1"/>
      </w:pPr>
      <w:r w:rsidRPr="0049230E">
        <w:t xml:space="preserve">For ASDEFCON advice, including proposed updates to or advice regarding the templates please email: </w:t>
      </w:r>
      <w:r w:rsidR="00CD0ECB">
        <w:t xml:space="preserve"> </w:t>
      </w:r>
      <w:hyperlink r:id="rId7" w:history="1">
        <w:r w:rsidRPr="0049230E">
          <w:rPr>
            <w:rStyle w:val="Hyperlink"/>
          </w:rPr>
          <w:t>procurement.ASDEFCON@defence.gov.au</w:t>
        </w:r>
      </w:hyperlink>
      <w:r w:rsidRPr="0049230E">
        <w:t>.</w:t>
      </w:r>
      <w:bookmarkEnd w:id="0"/>
    </w:p>
    <w:p w14:paraId="5BA52C70" w14:textId="77777777" w:rsidR="00E67749" w:rsidRPr="00CD0ECB" w:rsidRDefault="00E67749" w:rsidP="00CD0ECB">
      <w:pPr>
        <w:pStyle w:val="ASDEFCONNormal"/>
        <w:rPr>
          <w:b/>
        </w:rPr>
      </w:pPr>
      <w:r w:rsidRPr="00CD0ECB">
        <w:rPr>
          <w:b/>
        </w:rPr>
        <w:t>DISSEMINATION OF ASDEFCON (STANDING OFFER FOR GOODS)</w:t>
      </w:r>
    </w:p>
    <w:p w14:paraId="6AA69EAD" w14:textId="77777777" w:rsidR="00CB358C" w:rsidRDefault="00E67749" w:rsidP="00CD0ECB">
      <w:pPr>
        <w:pStyle w:val="ASDEFCONOperativePartListLV1"/>
      </w:pPr>
      <w:bookmarkStart w:id="1" w:name="_Ref96228367"/>
      <w:bookmarkStart w:id="2" w:name="_Ref409105152"/>
      <w:r w:rsidRPr="00881573">
        <w:rPr>
          <w:i/>
        </w:rPr>
        <w:t xml:space="preserve">ASDEFCON </w:t>
      </w:r>
      <w:r w:rsidRPr="009F2B4C">
        <w:rPr>
          <w:i/>
        </w:rPr>
        <w:t>(Standing Offer for Goods)</w:t>
      </w:r>
      <w:r w:rsidRPr="0028297E">
        <w:t xml:space="preserve"> </w:t>
      </w:r>
      <w:bookmarkStart w:id="3" w:name="_Ref408912344"/>
      <w:bookmarkStart w:id="4" w:name="_Ref210025825"/>
      <w:r w:rsidR="00CB358C">
        <w:t xml:space="preserve">can be downloaded from the </w:t>
      </w:r>
      <w:r w:rsidR="00B94604">
        <w:t xml:space="preserve">CASG </w:t>
      </w:r>
      <w:r w:rsidR="00CB358C">
        <w:t>intranet via the ‘ASDEFCON Suite of Tendering and Contracting Templates’ webpage at the following address:</w:t>
      </w:r>
      <w:bookmarkEnd w:id="3"/>
    </w:p>
    <w:p w14:paraId="15223276" w14:textId="06058011" w:rsidR="00B94604" w:rsidRDefault="00924CC8" w:rsidP="00CD0ECB">
      <w:pPr>
        <w:pStyle w:val="ASDEFCONNormal"/>
        <w:ind w:left="567"/>
      </w:pPr>
      <w:hyperlink r:id="rId8" w:history="1">
        <w:r w:rsidR="00977A8E" w:rsidRPr="004D74E4">
          <w:rPr>
            <w:rStyle w:val="Hyperlink"/>
          </w:rPr>
          <w:t>http://drnet.defence.gov.au/casg/commercial/CommercialPolicyFramework/Pages/ASDEFCON-Templates.aspx</w:t>
        </w:r>
      </w:hyperlink>
      <w:r w:rsidR="00977A8E">
        <w:t xml:space="preserve"> </w:t>
      </w:r>
    </w:p>
    <w:p w14:paraId="5D32B3BD" w14:textId="4CA5826C" w:rsidR="00E67749" w:rsidRPr="0028297E" w:rsidRDefault="00CB358C" w:rsidP="00CE7F34">
      <w:pPr>
        <w:pStyle w:val="ASDEFCONNormal"/>
        <w:ind w:left="567"/>
      </w:pPr>
      <w:r>
        <w:t xml:space="preserve">or from the </w:t>
      </w:r>
      <w:r w:rsidR="00B94604">
        <w:t xml:space="preserve">CASG </w:t>
      </w:r>
      <w:r>
        <w:t xml:space="preserve">internet site by following the ‘Procurement in Defence’ link to </w:t>
      </w:r>
      <w:r w:rsidR="00F968EE">
        <w:t xml:space="preserve">the </w:t>
      </w:r>
      <w:r>
        <w:t>following address:</w:t>
      </w:r>
      <w:bookmarkStart w:id="5" w:name="_GoBack"/>
      <w:bookmarkEnd w:id="5"/>
      <w:r w:rsidR="00974E5E">
        <w:fldChar w:fldCharType="begin"/>
      </w:r>
      <w:r w:rsidR="00974E5E">
        <w:instrText xml:space="preserve"> HYPERLINK "</w:instrText>
      </w:r>
      <w:r w:rsidR="00974E5E" w:rsidRPr="00974E5E">
        <w:instrText>https://www.defence.gov.au/business-industry/procurement/contracting-templates/asdefcon-suite</w:instrText>
      </w:r>
      <w:r w:rsidR="00974E5E">
        <w:instrText xml:space="preserve">" </w:instrText>
      </w:r>
      <w:r w:rsidR="00974E5E">
        <w:fldChar w:fldCharType="separate"/>
      </w:r>
      <w:r w:rsidR="00974E5E" w:rsidRPr="00783E52">
        <w:rPr>
          <w:rStyle w:val="Hyperlink"/>
        </w:rPr>
        <w:t>https://www.defence.gov.au/business-industry/procurement/contracting-templates/asdefcon-suite</w:t>
      </w:r>
      <w:r w:rsidR="00974E5E">
        <w:fldChar w:fldCharType="end"/>
      </w:r>
      <w:r>
        <w:t xml:space="preserve">. </w:t>
      </w:r>
      <w:bookmarkStart w:id="6" w:name="_Hlt99429024"/>
      <w:bookmarkEnd w:id="1"/>
      <w:bookmarkEnd w:id="2"/>
      <w:bookmarkEnd w:id="4"/>
      <w:bookmarkEnd w:id="6"/>
    </w:p>
    <w:sectPr w:rsidR="00E67749" w:rsidRPr="0028297E" w:rsidSect="00CE7F34">
      <w:headerReference w:type="default" r:id="rId9"/>
      <w:footerReference w:type="default" r:id="rId10"/>
      <w:pgSz w:w="11907" w:h="16840" w:code="9"/>
      <w:pgMar w:top="1418" w:right="1418" w:bottom="1418" w:left="1418" w:header="567" w:footer="567" w:gutter="0"/>
      <w:pgNumType w:fmt="lowerRoman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FCACC" w14:textId="77777777" w:rsidR="00924CC8" w:rsidRDefault="00924CC8">
      <w:r>
        <w:separator/>
      </w:r>
    </w:p>
  </w:endnote>
  <w:endnote w:type="continuationSeparator" w:id="0">
    <w:p w14:paraId="56C0E4B6" w14:textId="77777777" w:rsidR="00924CC8" w:rsidRDefault="00924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C43762" w:rsidRPr="00D009F2" w14:paraId="3769D177" w14:textId="77777777" w:rsidTr="00DA4959">
      <w:tc>
        <w:tcPr>
          <w:tcW w:w="2500" w:type="pct"/>
        </w:tcPr>
        <w:p w14:paraId="5E1DED72" w14:textId="7A5AFA77" w:rsidR="00C43762" w:rsidRDefault="00924CC8" w:rsidP="003577FA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1530C3">
            <w:t>General Information</w:t>
          </w:r>
          <w:r>
            <w:fldChar w:fldCharType="end"/>
          </w:r>
          <w:r w:rsidR="00C43762">
            <w:t xml:space="preserve"> 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1530C3">
            <w:t>V3.1</w:t>
          </w:r>
          <w:r>
            <w:fldChar w:fldCharType="end"/>
          </w:r>
        </w:p>
      </w:tc>
      <w:tc>
        <w:tcPr>
          <w:tcW w:w="2500" w:type="pct"/>
        </w:tcPr>
        <w:p w14:paraId="3D2B0BA0" w14:textId="5DE0BF78" w:rsidR="00C43762" w:rsidRPr="00D009F2" w:rsidRDefault="00E2491C" w:rsidP="00D009F2">
          <w:pPr>
            <w:pStyle w:val="ASDEFCONHeaderFooterRight"/>
          </w:pPr>
          <w:r w:rsidRPr="00D009F2">
            <w:fldChar w:fldCharType="begin"/>
          </w:r>
          <w:r w:rsidRPr="00D009F2">
            <w:instrText xml:space="preserve"> PAGE </w:instrText>
          </w:r>
          <w:r w:rsidRPr="00D009F2">
            <w:fldChar w:fldCharType="separate"/>
          </w:r>
          <w:r w:rsidR="00092F93">
            <w:rPr>
              <w:noProof/>
            </w:rPr>
            <w:t>i</w:t>
          </w:r>
          <w:r w:rsidRPr="00D009F2">
            <w:fldChar w:fldCharType="end"/>
          </w:r>
        </w:p>
      </w:tc>
    </w:tr>
    <w:tr w:rsidR="00C43762" w14:paraId="147445FF" w14:textId="77777777" w:rsidTr="00DA4959">
      <w:tc>
        <w:tcPr>
          <w:tcW w:w="5000" w:type="pct"/>
          <w:gridSpan w:val="2"/>
        </w:tcPr>
        <w:p w14:paraId="7195A1FC" w14:textId="187F69CE" w:rsidR="00C43762" w:rsidRDefault="003577FA" w:rsidP="00DA4959">
          <w:pPr>
            <w:pStyle w:val="ASDEFCONHeaderFooterClassification"/>
          </w:pPr>
          <w:r>
            <w:t>OFFICIAL</w:t>
          </w:r>
        </w:p>
      </w:tc>
    </w:tr>
  </w:tbl>
  <w:p w14:paraId="4BAE0E72" w14:textId="77777777" w:rsidR="00B5301D" w:rsidRPr="00D009F2" w:rsidRDefault="00B5301D" w:rsidP="00D009F2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E2662" w14:textId="77777777" w:rsidR="00924CC8" w:rsidRDefault="00924CC8">
      <w:r>
        <w:separator/>
      </w:r>
    </w:p>
  </w:footnote>
  <w:footnote w:type="continuationSeparator" w:id="0">
    <w:p w14:paraId="7067A779" w14:textId="77777777" w:rsidR="00924CC8" w:rsidRDefault="00924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C43762" w14:paraId="1D031F28" w14:textId="77777777" w:rsidTr="00DA4959">
      <w:tc>
        <w:tcPr>
          <w:tcW w:w="5000" w:type="pct"/>
          <w:gridSpan w:val="2"/>
        </w:tcPr>
        <w:p w14:paraId="2CCBAEF1" w14:textId="64415298" w:rsidR="00C43762" w:rsidRDefault="003577FA" w:rsidP="00C43762">
          <w:pPr>
            <w:pStyle w:val="ASDEFCONHeaderFooterClassification"/>
          </w:pPr>
          <w:r>
            <w:t>OFFICIAL</w:t>
          </w:r>
        </w:p>
      </w:tc>
    </w:tr>
    <w:tr w:rsidR="00C43762" w14:paraId="097BB808" w14:textId="77777777" w:rsidTr="00DA4959">
      <w:tc>
        <w:tcPr>
          <w:tcW w:w="2500" w:type="pct"/>
        </w:tcPr>
        <w:p w14:paraId="1BCEFF93" w14:textId="478A955D" w:rsidR="00C43762" w:rsidRDefault="00924CC8" w:rsidP="00C43762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1530C3">
            <w:t>ASDEFCON (Standing Offer for Goods)</w:t>
          </w:r>
          <w:r>
            <w:fldChar w:fldCharType="end"/>
          </w:r>
        </w:p>
      </w:tc>
      <w:tc>
        <w:tcPr>
          <w:tcW w:w="2500" w:type="pct"/>
        </w:tcPr>
        <w:p w14:paraId="6F2F6D29" w14:textId="1249C789" w:rsidR="00C43762" w:rsidRDefault="00C43762" w:rsidP="00C43762">
          <w:pPr>
            <w:pStyle w:val="ASDEFCONHeaderFooterRight"/>
            <w:jc w:val="left"/>
          </w:pPr>
          <w:r>
            <w:fldChar w:fldCharType="begin"/>
          </w:r>
          <w:r>
            <w:instrText xml:space="preserve"> DOCPROPERTY Header_Right </w:instrText>
          </w:r>
          <w:r>
            <w:fldChar w:fldCharType="end"/>
          </w:r>
        </w:p>
      </w:tc>
    </w:tr>
  </w:tbl>
  <w:p w14:paraId="6A4FC160" w14:textId="77777777" w:rsidR="00C43762" w:rsidRPr="008A3072" w:rsidRDefault="00C43762" w:rsidP="00560BC8">
    <w:pPr>
      <w:pStyle w:val="ASDEFCONHeaderFooter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44A029EE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E2A44E24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77F0935E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AF10909E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DF100DCC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38348D9E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741A7EBC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E24067F8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61043144"/>
    <w:lvl w:ilvl="0">
      <w:start w:val="1"/>
      <w:numFmt w:val="bullet"/>
      <w:pStyle w:val="GuideBullets-ASDEFCON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0786EA8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F70E925A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182EF8EA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0C090023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B8248A"/>
    <w:multiLevelType w:val="multilevel"/>
    <w:tmpl w:val="140C694E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7D81068"/>
    <w:multiLevelType w:val="hybridMultilevel"/>
    <w:tmpl w:val="41A82F8C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8" w15:restartNumberingAfterBreak="0">
    <w:nsid w:val="69A8193E"/>
    <w:multiLevelType w:val="hybridMultilevel"/>
    <w:tmpl w:val="2612F0F4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A371BD7"/>
    <w:multiLevelType w:val="multilevel"/>
    <w:tmpl w:val="B50AAF94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19F1F3F"/>
    <w:multiLevelType w:val="multilevel"/>
    <w:tmpl w:val="1C44D66C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78897D63"/>
    <w:multiLevelType w:val="hybridMultilevel"/>
    <w:tmpl w:val="820EB06A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1127D5"/>
    <w:multiLevelType w:val="hybridMultilevel"/>
    <w:tmpl w:val="A5F2B7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22"/>
  </w:num>
  <w:num w:numId="4">
    <w:abstractNumId w:val="13"/>
  </w:num>
  <w:num w:numId="5">
    <w:abstractNumId w:val="25"/>
  </w:num>
  <w:num w:numId="6">
    <w:abstractNumId w:val="14"/>
  </w:num>
  <w:num w:numId="7">
    <w:abstractNumId w:val="5"/>
  </w:num>
  <w:num w:numId="8">
    <w:abstractNumId w:val="19"/>
  </w:num>
  <w:num w:numId="9">
    <w:abstractNumId w:val="1"/>
  </w:num>
  <w:num w:numId="10">
    <w:abstractNumId w:val="8"/>
  </w:num>
  <w:num w:numId="11">
    <w:abstractNumId w:val="29"/>
  </w:num>
  <w:num w:numId="12">
    <w:abstractNumId w:val="37"/>
  </w:num>
  <w:num w:numId="13">
    <w:abstractNumId w:val="3"/>
  </w:num>
  <w:num w:numId="14">
    <w:abstractNumId w:val="33"/>
  </w:num>
  <w:num w:numId="15">
    <w:abstractNumId w:val="24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38"/>
  </w:num>
  <w:num w:numId="22">
    <w:abstractNumId w:val="23"/>
  </w:num>
  <w:num w:numId="23">
    <w:abstractNumId w:val="30"/>
  </w:num>
  <w:num w:numId="24">
    <w:abstractNumId w:val="43"/>
  </w:num>
  <w:num w:numId="25">
    <w:abstractNumId w:val="16"/>
  </w:num>
  <w:num w:numId="26">
    <w:abstractNumId w:val="20"/>
  </w:num>
  <w:num w:numId="27">
    <w:abstractNumId w:val="45"/>
  </w:num>
  <w:num w:numId="28">
    <w:abstractNumId w:val="11"/>
  </w:num>
  <w:num w:numId="29">
    <w:abstractNumId w:val="9"/>
  </w:num>
  <w:num w:numId="30">
    <w:abstractNumId w:val="2"/>
  </w:num>
  <w:num w:numId="31">
    <w:abstractNumId w:val="6"/>
  </w:num>
  <w:num w:numId="32">
    <w:abstractNumId w:val="18"/>
  </w:num>
  <w:num w:numId="33">
    <w:abstractNumId w:val="0"/>
  </w:num>
  <w:num w:numId="34">
    <w:abstractNumId w:val="26"/>
  </w:num>
  <w:num w:numId="35">
    <w:abstractNumId w:val="40"/>
  </w:num>
  <w:num w:numId="36">
    <w:abstractNumId w:val="36"/>
  </w:num>
  <w:num w:numId="37">
    <w:abstractNumId w:val="41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7"/>
  </w:num>
  <w:num w:numId="41">
    <w:abstractNumId w:val="44"/>
  </w:num>
  <w:num w:numId="42">
    <w:abstractNumId w:val="17"/>
  </w:num>
  <w:num w:numId="43">
    <w:abstractNumId w:val="28"/>
  </w:num>
  <w:num w:numId="44">
    <w:abstractNumId w:val="10"/>
  </w:num>
  <w:num w:numId="45">
    <w:abstractNumId w:val="4"/>
  </w:num>
  <w:num w:numId="46">
    <w:abstractNumId w:val="32"/>
  </w:num>
  <w:num w:numId="47">
    <w:abstractNumId w:val="21"/>
  </w:num>
  <w:num w:numId="48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CE8"/>
    <w:rsid w:val="00001670"/>
    <w:rsid w:val="00005E69"/>
    <w:rsid w:val="00017F5E"/>
    <w:rsid w:val="000232ED"/>
    <w:rsid w:val="00032F00"/>
    <w:rsid w:val="00042F1F"/>
    <w:rsid w:val="00053BE3"/>
    <w:rsid w:val="00070BF5"/>
    <w:rsid w:val="00075B9C"/>
    <w:rsid w:val="00087BDC"/>
    <w:rsid w:val="00092F93"/>
    <w:rsid w:val="00094ADC"/>
    <w:rsid w:val="000A4D13"/>
    <w:rsid w:val="000B0752"/>
    <w:rsid w:val="000C1BBC"/>
    <w:rsid w:val="000C22BB"/>
    <w:rsid w:val="000D45B4"/>
    <w:rsid w:val="000E39E4"/>
    <w:rsid w:val="000E42D7"/>
    <w:rsid w:val="000E6796"/>
    <w:rsid w:val="000F05E6"/>
    <w:rsid w:val="000F21A7"/>
    <w:rsid w:val="000F4CE8"/>
    <w:rsid w:val="00116E03"/>
    <w:rsid w:val="00133D1F"/>
    <w:rsid w:val="0013514B"/>
    <w:rsid w:val="001507F5"/>
    <w:rsid w:val="001530C3"/>
    <w:rsid w:val="0015521E"/>
    <w:rsid w:val="001553CA"/>
    <w:rsid w:val="00170A76"/>
    <w:rsid w:val="00171FD0"/>
    <w:rsid w:val="00183158"/>
    <w:rsid w:val="00183787"/>
    <w:rsid w:val="00192053"/>
    <w:rsid w:val="001A2838"/>
    <w:rsid w:val="001B516D"/>
    <w:rsid w:val="001C7867"/>
    <w:rsid w:val="001D2F5E"/>
    <w:rsid w:val="001F46AD"/>
    <w:rsid w:val="00216500"/>
    <w:rsid w:val="002332EF"/>
    <w:rsid w:val="00256EA1"/>
    <w:rsid w:val="00265317"/>
    <w:rsid w:val="002672F9"/>
    <w:rsid w:val="002728F4"/>
    <w:rsid w:val="00282081"/>
    <w:rsid w:val="0028297E"/>
    <w:rsid w:val="00296D06"/>
    <w:rsid w:val="002A0077"/>
    <w:rsid w:val="002A0642"/>
    <w:rsid w:val="002A7C3B"/>
    <w:rsid w:val="002D17FB"/>
    <w:rsid w:val="002F2CC3"/>
    <w:rsid w:val="002F376D"/>
    <w:rsid w:val="0030099B"/>
    <w:rsid w:val="00304E17"/>
    <w:rsid w:val="003200CB"/>
    <w:rsid w:val="00322C5D"/>
    <w:rsid w:val="00323C72"/>
    <w:rsid w:val="003246E4"/>
    <w:rsid w:val="00327E44"/>
    <w:rsid w:val="00331421"/>
    <w:rsid w:val="003577FA"/>
    <w:rsid w:val="0037405A"/>
    <w:rsid w:val="0039473A"/>
    <w:rsid w:val="00395EE3"/>
    <w:rsid w:val="00395F49"/>
    <w:rsid w:val="003B10C9"/>
    <w:rsid w:val="003C5483"/>
    <w:rsid w:val="003D1DBE"/>
    <w:rsid w:val="003D65A9"/>
    <w:rsid w:val="003E413A"/>
    <w:rsid w:val="003F2AA2"/>
    <w:rsid w:val="003F4284"/>
    <w:rsid w:val="004254F9"/>
    <w:rsid w:val="00430303"/>
    <w:rsid w:val="00431037"/>
    <w:rsid w:val="0044201C"/>
    <w:rsid w:val="00456E01"/>
    <w:rsid w:val="00467FCC"/>
    <w:rsid w:val="0048725D"/>
    <w:rsid w:val="0049230E"/>
    <w:rsid w:val="004B2CF5"/>
    <w:rsid w:val="004B465A"/>
    <w:rsid w:val="004B53B9"/>
    <w:rsid w:val="004C5F59"/>
    <w:rsid w:val="004D1941"/>
    <w:rsid w:val="004F0DA4"/>
    <w:rsid w:val="005010FC"/>
    <w:rsid w:val="005027E1"/>
    <w:rsid w:val="00503F97"/>
    <w:rsid w:val="00504C51"/>
    <w:rsid w:val="0050516F"/>
    <w:rsid w:val="00520503"/>
    <w:rsid w:val="00520665"/>
    <w:rsid w:val="005303B6"/>
    <w:rsid w:val="00543132"/>
    <w:rsid w:val="0055241D"/>
    <w:rsid w:val="00560BC8"/>
    <w:rsid w:val="00572F0D"/>
    <w:rsid w:val="00584EDD"/>
    <w:rsid w:val="00590A7F"/>
    <w:rsid w:val="00591BC1"/>
    <w:rsid w:val="00597273"/>
    <w:rsid w:val="005B2872"/>
    <w:rsid w:val="005B2CD7"/>
    <w:rsid w:val="005B345F"/>
    <w:rsid w:val="005B40D5"/>
    <w:rsid w:val="005F7072"/>
    <w:rsid w:val="005F79D2"/>
    <w:rsid w:val="00605BA1"/>
    <w:rsid w:val="0061409A"/>
    <w:rsid w:val="0063391B"/>
    <w:rsid w:val="00650078"/>
    <w:rsid w:val="006603E3"/>
    <w:rsid w:val="00682B13"/>
    <w:rsid w:val="00693FA2"/>
    <w:rsid w:val="006B4989"/>
    <w:rsid w:val="006C15D1"/>
    <w:rsid w:val="006D0F7A"/>
    <w:rsid w:val="006E411C"/>
    <w:rsid w:val="007358D3"/>
    <w:rsid w:val="007366BD"/>
    <w:rsid w:val="0074393E"/>
    <w:rsid w:val="00750AD5"/>
    <w:rsid w:val="00765DF1"/>
    <w:rsid w:val="007669C5"/>
    <w:rsid w:val="00783D2F"/>
    <w:rsid w:val="00792A98"/>
    <w:rsid w:val="00794064"/>
    <w:rsid w:val="007B07C5"/>
    <w:rsid w:val="007B1D59"/>
    <w:rsid w:val="007B2802"/>
    <w:rsid w:val="007D154A"/>
    <w:rsid w:val="007E6334"/>
    <w:rsid w:val="007F3E2F"/>
    <w:rsid w:val="007F7D8C"/>
    <w:rsid w:val="00800749"/>
    <w:rsid w:val="0080169D"/>
    <w:rsid w:val="00812986"/>
    <w:rsid w:val="00844F53"/>
    <w:rsid w:val="008513E9"/>
    <w:rsid w:val="0086397F"/>
    <w:rsid w:val="00870C8A"/>
    <w:rsid w:val="0087768B"/>
    <w:rsid w:val="00881573"/>
    <w:rsid w:val="00883D4E"/>
    <w:rsid w:val="0089207B"/>
    <w:rsid w:val="00896821"/>
    <w:rsid w:val="00897937"/>
    <w:rsid w:val="008A3072"/>
    <w:rsid w:val="008A6E2F"/>
    <w:rsid w:val="008B783C"/>
    <w:rsid w:val="008B7E7F"/>
    <w:rsid w:val="008C1CB5"/>
    <w:rsid w:val="008C24A0"/>
    <w:rsid w:val="008F6CEC"/>
    <w:rsid w:val="00901FDC"/>
    <w:rsid w:val="00924CC8"/>
    <w:rsid w:val="009351D5"/>
    <w:rsid w:val="00942DC1"/>
    <w:rsid w:val="00944D02"/>
    <w:rsid w:val="00947935"/>
    <w:rsid w:val="009520AD"/>
    <w:rsid w:val="009568CC"/>
    <w:rsid w:val="009621C3"/>
    <w:rsid w:val="0096489F"/>
    <w:rsid w:val="00974E5E"/>
    <w:rsid w:val="00977A8E"/>
    <w:rsid w:val="00982575"/>
    <w:rsid w:val="00985C1D"/>
    <w:rsid w:val="00986FD4"/>
    <w:rsid w:val="00994876"/>
    <w:rsid w:val="009A04A5"/>
    <w:rsid w:val="009A6223"/>
    <w:rsid w:val="009B09DF"/>
    <w:rsid w:val="009B5321"/>
    <w:rsid w:val="009B7946"/>
    <w:rsid w:val="009C4D44"/>
    <w:rsid w:val="009D5981"/>
    <w:rsid w:val="009E4DA3"/>
    <w:rsid w:val="009E59F2"/>
    <w:rsid w:val="009F1B4B"/>
    <w:rsid w:val="009F2B4C"/>
    <w:rsid w:val="00A35B16"/>
    <w:rsid w:val="00A47970"/>
    <w:rsid w:val="00A53BB7"/>
    <w:rsid w:val="00A83268"/>
    <w:rsid w:val="00A83EEA"/>
    <w:rsid w:val="00A91D8E"/>
    <w:rsid w:val="00A93114"/>
    <w:rsid w:val="00A94266"/>
    <w:rsid w:val="00AB0D45"/>
    <w:rsid w:val="00AB1A85"/>
    <w:rsid w:val="00AB7008"/>
    <w:rsid w:val="00AC31A7"/>
    <w:rsid w:val="00AC4EBD"/>
    <w:rsid w:val="00AD4E85"/>
    <w:rsid w:val="00AD7A3F"/>
    <w:rsid w:val="00AE40EA"/>
    <w:rsid w:val="00AE4B9C"/>
    <w:rsid w:val="00B04D07"/>
    <w:rsid w:val="00B07AAF"/>
    <w:rsid w:val="00B109F5"/>
    <w:rsid w:val="00B427C0"/>
    <w:rsid w:val="00B5301D"/>
    <w:rsid w:val="00B54945"/>
    <w:rsid w:val="00B56EC7"/>
    <w:rsid w:val="00B67D3F"/>
    <w:rsid w:val="00B94604"/>
    <w:rsid w:val="00B97BE9"/>
    <w:rsid w:val="00BB407A"/>
    <w:rsid w:val="00BD4A85"/>
    <w:rsid w:val="00BE107A"/>
    <w:rsid w:val="00BE5BD9"/>
    <w:rsid w:val="00BF03D7"/>
    <w:rsid w:val="00C061BC"/>
    <w:rsid w:val="00C0663E"/>
    <w:rsid w:val="00C16C32"/>
    <w:rsid w:val="00C42D73"/>
    <w:rsid w:val="00C43762"/>
    <w:rsid w:val="00C45ACE"/>
    <w:rsid w:val="00C5118A"/>
    <w:rsid w:val="00C5551A"/>
    <w:rsid w:val="00C617D7"/>
    <w:rsid w:val="00C76884"/>
    <w:rsid w:val="00C913E2"/>
    <w:rsid w:val="00C97687"/>
    <w:rsid w:val="00CB358C"/>
    <w:rsid w:val="00CC15D8"/>
    <w:rsid w:val="00CC2B12"/>
    <w:rsid w:val="00CD0ECB"/>
    <w:rsid w:val="00CD68BC"/>
    <w:rsid w:val="00CE347F"/>
    <w:rsid w:val="00CE7F34"/>
    <w:rsid w:val="00D009F2"/>
    <w:rsid w:val="00D022A0"/>
    <w:rsid w:val="00D02D84"/>
    <w:rsid w:val="00D1293B"/>
    <w:rsid w:val="00D16701"/>
    <w:rsid w:val="00D20A08"/>
    <w:rsid w:val="00D3312F"/>
    <w:rsid w:val="00D43685"/>
    <w:rsid w:val="00D4633A"/>
    <w:rsid w:val="00D62B4F"/>
    <w:rsid w:val="00D8529A"/>
    <w:rsid w:val="00DA4959"/>
    <w:rsid w:val="00DC0E9F"/>
    <w:rsid w:val="00DC7A36"/>
    <w:rsid w:val="00DD0A42"/>
    <w:rsid w:val="00E043EB"/>
    <w:rsid w:val="00E05D54"/>
    <w:rsid w:val="00E2491C"/>
    <w:rsid w:val="00E401E4"/>
    <w:rsid w:val="00E67749"/>
    <w:rsid w:val="00E74095"/>
    <w:rsid w:val="00E76841"/>
    <w:rsid w:val="00E77009"/>
    <w:rsid w:val="00EA2CB3"/>
    <w:rsid w:val="00EC1312"/>
    <w:rsid w:val="00ED272B"/>
    <w:rsid w:val="00ED48C2"/>
    <w:rsid w:val="00EE0838"/>
    <w:rsid w:val="00EF1843"/>
    <w:rsid w:val="00F04E51"/>
    <w:rsid w:val="00F13864"/>
    <w:rsid w:val="00F13E3D"/>
    <w:rsid w:val="00F335E2"/>
    <w:rsid w:val="00F66AB7"/>
    <w:rsid w:val="00F8301B"/>
    <w:rsid w:val="00F921CE"/>
    <w:rsid w:val="00F968EE"/>
    <w:rsid w:val="00FA16D7"/>
    <w:rsid w:val="00FA6CD9"/>
    <w:rsid w:val="00FB08E5"/>
    <w:rsid w:val="00FB1684"/>
    <w:rsid w:val="00FD60AD"/>
    <w:rsid w:val="00FF4F39"/>
    <w:rsid w:val="00F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A2E972"/>
  <w15:chartTrackingRefBased/>
  <w15:docId w15:val="{1D9B4466-01E9-4802-A743-CEC4C056E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77FA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3577FA"/>
    <w:pPr>
      <w:keepNext/>
      <w:numPr>
        <w:numId w:val="2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577F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not used"/>
    <w:basedOn w:val="Normal"/>
    <w:next w:val="Normal"/>
    <w:uiPriority w:val="9"/>
    <w:qFormat/>
    <w:rsid w:val="00CD0ECB"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CD0ECB"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CD0ECB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CD0ECB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CD0ECB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CD0ECB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CD0ECB"/>
    <w:pPr>
      <w:numPr>
        <w:ilvl w:val="8"/>
        <w:numId w:val="11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D0ECB"/>
  </w:style>
  <w:style w:type="character" w:styleId="Hyperlink">
    <w:name w:val="Hyperlink"/>
    <w:uiPriority w:val="99"/>
    <w:unhideWhenUsed/>
    <w:rsid w:val="003577FA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left"/>
    </w:pPr>
    <w:rPr>
      <w:rFonts w:ascii="Times New Roman" w:hAnsi="Times New Roman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sz w:val="16"/>
    </w:rPr>
  </w:style>
  <w:style w:type="paragraph" w:styleId="BalloonText">
    <w:name w:val="Balloon Text"/>
    <w:basedOn w:val="Normal"/>
    <w:semiHidden/>
    <w:rsid w:val="000F4CE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D0ECB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3577FA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3577FA"/>
    <w:pPr>
      <w:spacing w:after="60"/>
      <w:ind w:left="1417" w:hanging="850"/>
    </w:pPr>
    <w:rPr>
      <w:rFonts w:ascii="Arial" w:hAnsi="Arial" w:cs="Arial"/>
      <w:szCs w:val="24"/>
    </w:rPr>
  </w:style>
  <w:style w:type="paragraph" w:styleId="EndnoteText">
    <w:name w:val="endnote text"/>
    <w:basedOn w:val="Normal"/>
    <w:semiHidden/>
    <w:rsid w:val="00CD0ECB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63391B"/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3577FA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3577FA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3577FA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3577FA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3577FA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3577FA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3577FA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3577FA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3577FA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3577FA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3577FA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Normal"/>
    <w:rsid w:val="003577FA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3577FA"/>
    <w:pPr>
      <w:keepNext/>
      <w:keepLines/>
      <w:numPr>
        <w:numId w:val="1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3577FA"/>
    <w:pPr>
      <w:numPr>
        <w:ilvl w:val="1"/>
        <w:numId w:val="1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3577FA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3577FA"/>
    <w:pPr>
      <w:numPr>
        <w:ilvl w:val="2"/>
        <w:numId w:val="1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3577FA"/>
    <w:pPr>
      <w:numPr>
        <w:ilvl w:val="3"/>
        <w:numId w:val="18"/>
      </w:numPr>
    </w:pPr>
    <w:rPr>
      <w:szCs w:val="24"/>
    </w:rPr>
  </w:style>
  <w:style w:type="paragraph" w:customStyle="1" w:styleId="ASDEFCONCoverTitle">
    <w:name w:val="ASDEFCON Cover Title"/>
    <w:rsid w:val="003577FA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3577FA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3577FA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3577FA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3577FA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3577FA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3577FA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3577FA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3577FA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3577FA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3577FA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3577FA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3577FA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3577FA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3577FA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3577FA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3577FA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3577FA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3577FA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3577FA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3577FA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3577FA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3577FA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3577FA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3577FA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3577F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3577FA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3577F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3577FA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3577F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3577FA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3577FA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3577FA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3577FA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3577FA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3577FA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3577FA"/>
    <w:rPr>
      <w:szCs w:val="20"/>
    </w:rPr>
  </w:style>
  <w:style w:type="paragraph" w:customStyle="1" w:styleId="ASDEFCONTextBlock">
    <w:name w:val="ASDEFCON TextBlock"/>
    <w:basedOn w:val="ASDEFCONNormal"/>
    <w:qFormat/>
    <w:rsid w:val="003577FA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3577FA"/>
    <w:pPr>
      <w:numPr>
        <w:numId w:val="24"/>
      </w:numPr>
      <w:tabs>
        <w:tab w:val="clear" w:pos="397"/>
        <w:tab w:val="left" w:pos="567"/>
        <w:tab w:val="right" w:leader="dot" w:pos="9072"/>
      </w:tabs>
      <w:ind w:left="567" w:hanging="567"/>
    </w:pPr>
  </w:style>
  <w:style w:type="paragraph" w:customStyle="1" w:styleId="ATTANNTitleListTableofContents-ASDEFCON">
    <w:name w:val="ATT/ANN Title List (Table of Contents) - ASDEFCON"/>
    <w:basedOn w:val="ASDEFCONNormal"/>
    <w:rsid w:val="003577FA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3577FA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3577FA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3577FA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3577FA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3577FA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3577FA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3577FA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3577FA"/>
    <w:pPr>
      <w:numPr>
        <w:numId w:val="25"/>
      </w:numPr>
      <w:tabs>
        <w:tab w:val="clear" w:pos="284"/>
      </w:tabs>
    </w:pPr>
  </w:style>
  <w:style w:type="paragraph" w:customStyle="1" w:styleId="Table8ptBP2-ASDEFCON">
    <w:name w:val="Table 8pt BP2 - ASDEFCON"/>
    <w:basedOn w:val="Table8ptText-ASDEFCON"/>
    <w:rsid w:val="003577FA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3577FA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3577FA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3577FA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3577FA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3577FA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3577FA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3577FA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3577FA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3577FA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3577FA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3577FA"/>
    <w:pPr>
      <w:numPr>
        <w:ilvl w:val="6"/>
        <w:numId w:val="26"/>
      </w:numPr>
      <w:tabs>
        <w:tab w:val="clear" w:pos="3402"/>
        <w:tab w:val="num" w:pos="2268"/>
      </w:tabs>
      <w:ind w:left="2268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3577FA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3577FA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3577FA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3577FA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3577FA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3577FA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3577FA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3577FA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link w:val="ASDEFCONOperativePartListLV1Char"/>
    <w:rsid w:val="003577FA"/>
    <w:pPr>
      <w:numPr>
        <w:numId w:val="32"/>
      </w:numPr>
    </w:pPr>
    <w:rPr>
      <w:iCs/>
    </w:rPr>
  </w:style>
  <w:style w:type="character" w:customStyle="1" w:styleId="ASDEFCONOperativePartListLV1Char">
    <w:name w:val="ASDEFCON Operative Part List LV1 Char"/>
    <w:link w:val="ASDEFCONOperativePartListLV1"/>
    <w:rsid w:val="00CD0ECB"/>
    <w:rPr>
      <w:rFonts w:ascii="Arial" w:hAnsi="Arial"/>
      <w:iCs/>
      <w:color w:val="000000"/>
      <w:szCs w:val="40"/>
    </w:rPr>
  </w:style>
  <w:style w:type="paragraph" w:customStyle="1" w:styleId="ASDEFCONOperativePartListLV2">
    <w:name w:val="ASDEFCON Operative Part List LV2"/>
    <w:basedOn w:val="ASDEFCONOperativePartListLV1"/>
    <w:rsid w:val="003577FA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3577FA"/>
    <w:pPr>
      <w:spacing w:after="0"/>
    </w:pPr>
    <w:rPr>
      <w:bCs/>
      <w:color w:val="FFFFFF"/>
      <w:sz w:val="8"/>
    </w:rPr>
  </w:style>
  <w:style w:type="paragraph" w:customStyle="1" w:styleId="ASDEFCONHeaderFooterCenter">
    <w:name w:val="ASDEFCON Header/Footer Center"/>
    <w:basedOn w:val="ASDEFCONHeaderFooterLeft"/>
    <w:rsid w:val="003577FA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3577FA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3577FA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3577FA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3577FA"/>
    <w:pPr>
      <w:numPr>
        <w:ilvl w:val="1"/>
        <w:numId w:val="35"/>
      </w:numPr>
    </w:pPr>
  </w:style>
  <w:style w:type="paragraph" w:styleId="TOC3">
    <w:name w:val="toc 3"/>
    <w:basedOn w:val="Normal"/>
    <w:next w:val="Normal"/>
    <w:autoRedefine/>
    <w:rsid w:val="003577FA"/>
    <w:pPr>
      <w:spacing w:after="100"/>
      <w:ind w:left="400"/>
    </w:pPr>
  </w:style>
  <w:style w:type="paragraph" w:customStyle="1" w:styleId="ATTANNReferencetoCOC">
    <w:name w:val="ATT/ANN Reference to COC"/>
    <w:basedOn w:val="ASDEFCONNormal"/>
    <w:rsid w:val="003577FA"/>
    <w:pPr>
      <w:keepNext/>
      <w:jc w:val="right"/>
    </w:pPr>
    <w:rPr>
      <w:i/>
      <w:iCs/>
      <w:szCs w:val="20"/>
    </w:rPr>
  </w:style>
  <w:style w:type="character" w:customStyle="1" w:styleId="Heading2Char">
    <w:name w:val="Heading 2 Char"/>
    <w:link w:val="Heading2"/>
    <w:rsid w:val="003577FA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3577FA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3577FA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3577FA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3577FA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3577FA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3577FA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3577FA"/>
    <w:pPr>
      <w:numPr>
        <w:numId w:val="47"/>
      </w:numPr>
    </w:pPr>
  </w:style>
  <w:style w:type="paragraph" w:customStyle="1" w:styleId="HandbookLevel2Header">
    <w:name w:val="Handbook Level 2 Header"/>
    <w:basedOn w:val="Heading2"/>
    <w:autoRedefine/>
    <w:qFormat/>
    <w:rsid w:val="00977A8E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9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net.defence.gov.au/casg/commercial/CommercialPolicyFramework/Pages/ASDEFCON-Templates.asp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d85userdata.dpe.protected.mil.au\la\lauren.massey\Objective\Objects\procurement.ASDEFCON@defence.gov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eale.banerjee\AppData\Roaming\Microsoft\Templates\ASDEFCON%20Styles%20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 2015.dot</Template>
  <TotalTime>10</TotalTime>
  <Pages>2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(Standing Offer for Goods)</vt:lpstr>
    </vt:vector>
  </TitlesOfParts>
  <Manager>Bernie de Riva O'Phelan</Manager>
  <Company>Department of Defence</Company>
  <LinksUpToDate>false</LinksUpToDate>
  <CharactersWithSpaces>5518</CharactersWithSpaces>
  <SharedDoc>false</SharedDoc>
  <HLinks>
    <vt:vector size="18" baseType="variant">
      <vt:variant>
        <vt:i4>3801189</vt:i4>
      </vt:variant>
      <vt:variant>
        <vt:i4>15</vt:i4>
      </vt:variant>
      <vt:variant>
        <vt:i4>0</vt:i4>
      </vt:variant>
      <vt:variant>
        <vt:i4>5</vt:i4>
      </vt:variant>
      <vt:variant>
        <vt:lpwstr>https://www.defence.gov.au/casg/DoingBusiness/ProcurementDefence/PoliciesGuidelinesTemplates/ASDEFCON Suite.asp</vt:lpwstr>
      </vt:variant>
      <vt:variant>
        <vt:lpwstr/>
      </vt:variant>
      <vt:variant>
        <vt:i4>1376328</vt:i4>
      </vt:variant>
      <vt:variant>
        <vt:i4>12</vt:i4>
      </vt:variant>
      <vt:variant>
        <vt:i4>0</vt:i4>
      </vt:variant>
      <vt:variant>
        <vt:i4>5</vt:i4>
      </vt:variant>
      <vt:variant>
        <vt:lpwstr>http://drnet.defence.gov.au/DMO/Commercial/Commercial Policy Framework/Pages/ASDEFCON-Templates.aspx</vt:lpwstr>
      </vt:variant>
      <vt:variant>
        <vt:lpwstr/>
      </vt:variant>
      <vt:variant>
        <vt:i4>2883678</vt:i4>
      </vt:variant>
      <vt:variant>
        <vt:i4>9</vt:i4>
      </vt:variant>
      <vt:variant>
        <vt:i4>0</vt:i4>
      </vt:variant>
      <vt:variant>
        <vt:i4>5</vt:i4>
      </vt:variant>
      <vt:variant>
        <vt:lpwstr>procurement.ASDEFCON@defence.gov.au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(Standing Offer for Goods)</dc:title>
  <dc:subject>General Information (V2.0)</dc:subject>
  <dc:creator>elizabeth.perrin</dc:creator>
  <cp:keywords/>
  <dc:description/>
  <cp:lastModifiedBy>Prabhu, Akshata MS</cp:lastModifiedBy>
  <cp:revision>9</cp:revision>
  <cp:lastPrinted>2015-10-05T22:57:00Z</cp:lastPrinted>
  <dcterms:created xsi:type="dcterms:W3CDTF">2020-02-07T02:38:00Z</dcterms:created>
  <dcterms:modified xsi:type="dcterms:W3CDTF">2024-08-21T05:39:00Z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V3.1</vt:lpwstr>
  </property>
  <property fmtid="{D5CDD505-2E9C-101B-9397-08002B2CF9AE}" pid="3" name="Objective-Id">
    <vt:lpwstr>BM55256282</vt:lpwstr>
  </property>
  <property fmtid="{D5CDD505-2E9C-101B-9397-08002B2CF9AE}" pid="4" name="Objective-Title">
    <vt:lpwstr>002_SOFG_V3.1_General Information</vt:lpwstr>
  </property>
  <property fmtid="{D5CDD505-2E9C-101B-9397-08002B2CF9AE}" pid="5" name="Objective-Comment">
    <vt:lpwstr/>
  </property>
  <property fmtid="{D5CDD505-2E9C-101B-9397-08002B2CF9AE}" pid="6" name="Objective-CreationStamp">
    <vt:filetime>2023-01-09T06:29:39Z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2024-08-21T04:23:54Z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01 Working Files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UNCLASSIFIED</vt:lpwstr>
  </property>
  <property fmtid="{D5CDD505-2E9C-101B-9397-08002B2CF9AE}" pid="23" name="Header_Left">
    <vt:lpwstr>ASDEFCON (Standing Offer for Goods)</vt:lpwstr>
  </property>
  <property fmtid="{D5CDD505-2E9C-101B-9397-08002B2CF9AE}" pid="24" name="Header_Right">
    <vt:lpwstr/>
  </property>
  <property fmtid="{D5CDD505-2E9C-101B-9397-08002B2CF9AE}" pid="25" name="Footer_Left">
    <vt:lpwstr>General Information</vt:lpwstr>
  </property>
  <property fmtid="{D5CDD505-2E9C-101B-9397-08002B2CF9AE}" pid="26" name="Objective-Reason for Security Classification Change [system]">
    <vt:lpwstr/>
  </property>
</Properties>
</file>