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B5756" w14:textId="77777777" w:rsidR="002E1109" w:rsidRDefault="0071641C" w:rsidP="00E938CA">
      <w:pPr>
        <w:pStyle w:val="ASDEFCONTitle"/>
      </w:pPr>
      <w:bookmarkStart w:id="0" w:name="_GoBack"/>
      <w:bookmarkEnd w:id="0"/>
      <w:r>
        <w:t xml:space="preserve">MSR </w:t>
      </w:r>
      <w:r w:rsidR="002E1109">
        <w:t>cHecklisT</w:t>
      </w:r>
    </w:p>
    <w:p w14:paraId="1BB2438E" w14:textId="4BA77EE3" w:rsidR="002E1109" w:rsidRDefault="002E1109" w:rsidP="00E938CA">
      <w:pPr>
        <w:pStyle w:val="SOWHL1-ASDEFCON"/>
      </w:pPr>
      <w:bookmarkStart w:id="1" w:name="_Toc515805636"/>
      <w:r>
        <w:t>I</w:t>
      </w:r>
      <w:bookmarkStart w:id="2" w:name="_Toc515805637"/>
      <w:r>
        <w:t>den</w:t>
      </w:r>
      <w:r w:rsidR="00093879">
        <w:t>tification:</w:t>
      </w:r>
      <w:r w:rsidR="00093879">
        <w:tab/>
      </w:r>
      <w:r w:rsidR="00267CC5">
        <w:fldChar w:fldCharType="begin"/>
      </w:r>
      <w:r w:rsidR="00267CC5">
        <w:instrText xml:space="preserve"> TITLE   \* MERGEFORMAT </w:instrText>
      </w:r>
      <w:r w:rsidR="00267CC5">
        <w:fldChar w:fldCharType="separate"/>
      </w:r>
      <w:r w:rsidR="009F7702">
        <w:t>MSR-CHECKLIST-TXRR</w:t>
      </w:r>
      <w:r w:rsidR="00267CC5">
        <w:fldChar w:fldCharType="end"/>
      </w:r>
      <w:r w:rsidR="00093879">
        <w:t>-</w:t>
      </w:r>
      <w:fldSimple w:instr=" DOCPROPERTY Version ">
        <w:r w:rsidR="00A67334">
          <w:t>V5.3</w:t>
        </w:r>
      </w:fldSimple>
    </w:p>
    <w:p w14:paraId="20D652BD" w14:textId="5A1C0534" w:rsidR="002E1109" w:rsidRDefault="002E1109" w:rsidP="00E938CA">
      <w:pPr>
        <w:pStyle w:val="SOWHL1-ASDEFCON"/>
      </w:pPr>
      <w:r>
        <w:t>TITLE:</w:t>
      </w:r>
      <w:r>
        <w:tab/>
      </w:r>
      <w:bookmarkEnd w:id="2"/>
      <w:r w:rsidR="006A5656">
        <w:fldChar w:fldCharType="begin"/>
      </w:r>
      <w:r w:rsidR="006A5656">
        <w:instrText xml:space="preserve"> SUBJECT   \* MERGEFORMAT </w:instrText>
      </w:r>
      <w:r w:rsidR="006A5656">
        <w:fldChar w:fldCharType="separate"/>
      </w:r>
      <w:r w:rsidR="009F7702">
        <w:t>Transition Requirements Review</w:t>
      </w:r>
      <w:r w:rsidR="006A5656">
        <w:fldChar w:fldCharType="end"/>
      </w:r>
      <w:r w:rsidR="006A5656">
        <w:t xml:space="preserve"> </w:t>
      </w:r>
      <w:r>
        <w:t>Checklist</w:t>
      </w:r>
    </w:p>
    <w:p w14:paraId="5930E052" w14:textId="77777777" w:rsidR="002E1109" w:rsidRDefault="002E1109" w:rsidP="00E938CA">
      <w:pPr>
        <w:pStyle w:val="SOWHL1-ASDEFCON"/>
      </w:pPr>
      <w:bookmarkStart w:id="3" w:name="_Toc515805639"/>
      <w:r>
        <w:t>DESCRIPTION and intended use</w:t>
      </w:r>
      <w:bookmarkEnd w:id="3"/>
    </w:p>
    <w:p w14:paraId="431A8474" w14:textId="32A29699" w:rsidR="00345F53" w:rsidRDefault="00345F53" w:rsidP="00E938CA">
      <w:pPr>
        <w:pStyle w:val="Note-ASDEFCON"/>
      </w:pPr>
      <w:r>
        <w:t>Note:</w:t>
      </w:r>
      <w:r w:rsidR="00C11FEF">
        <w:t xml:space="preserve">  In this </w:t>
      </w:r>
      <w:r w:rsidR="00D80785">
        <w:t>MSR C</w:t>
      </w:r>
      <w:r w:rsidR="00C11FEF">
        <w:t>hecklist</w:t>
      </w:r>
      <w:r w:rsidR="0062034F">
        <w:t>,</w:t>
      </w:r>
      <w:r w:rsidR="00C11FEF">
        <w:t xml:space="preserve"> a reference to the Contract (Acquisition) is a reference to the Contract, a reference to the Contract</w:t>
      </w:r>
      <w:r w:rsidR="002B4DAE">
        <w:t>or</w:t>
      </w:r>
      <w:r w:rsidR="00C11FEF">
        <w:t xml:space="preserve"> (Acquisition) is a reference to the Contract</w:t>
      </w:r>
      <w:r w:rsidR="002B4DAE">
        <w:t>or,</w:t>
      </w:r>
      <w:r w:rsidR="00C11FEF">
        <w:t xml:space="preserve"> and a reference to the Subcontractors (Acquisition) is a reference to the Subcontractors.</w:t>
      </w:r>
    </w:p>
    <w:p w14:paraId="6B5827BC" w14:textId="77777777" w:rsidR="000D725C" w:rsidRPr="00F86980" w:rsidRDefault="000D725C" w:rsidP="00E938CA">
      <w:pPr>
        <w:pStyle w:val="Note-ASDEFCON"/>
      </w:pPr>
      <w:r>
        <w:t xml:space="preserve">Note: </w:t>
      </w:r>
      <w:r w:rsidR="002E3F04">
        <w:t xml:space="preserve"> </w:t>
      </w:r>
      <w:r>
        <w:t>Defined terms not within the Contract (Acquisition) Glossary will appear in the Contract (Support) Glossary, and have a relationship to the Contract (Acquisition) even if the contracts are not formally linked.  For example, applicable ‘Products’ are included in the Supplies and ‘Services’ are deliverable services provided by the Contractor (Support) to those Products.</w:t>
      </w:r>
    </w:p>
    <w:p w14:paraId="2FF95015" w14:textId="77777777" w:rsidR="002E1109" w:rsidRDefault="002E1109" w:rsidP="00E938CA">
      <w:pPr>
        <w:pStyle w:val="SOWTL2-ASDEFCON"/>
      </w:pPr>
      <w:r>
        <w:t>The objectives of the Transition Requirements Review (TXRR) are to:</w:t>
      </w:r>
    </w:p>
    <w:p w14:paraId="0A8207FB" w14:textId="77777777" w:rsidR="003568A6" w:rsidRDefault="00EE241A" w:rsidP="00E938CA">
      <w:pPr>
        <w:pStyle w:val="SOWSubL1-ASDEFCON"/>
      </w:pPr>
      <w:r>
        <w:t xml:space="preserve">demonstrate </w:t>
      </w:r>
      <w:r w:rsidR="002E1109">
        <w:t xml:space="preserve">that the requirements for </w:t>
      </w:r>
      <w:r w:rsidR="00C2620D">
        <w:t xml:space="preserve">the </w:t>
      </w:r>
      <w:r w:rsidR="002E1109">
        <w:t xml:space="preserve">transfer of materiel </w:t>
      </w:r>
      <w:r w:rsidR="003568A6">
        <w:t xml:space="preserve">Supplies </w:t>
      </w:r>
      <w:r w:rsidR="002E1109">
        <w:t xml:space="preserve">and processes from </w:t>
      </w:r>
      <w:r w:rsidR="003568A6">
        <w:t>the Contract</w:t>
      </w:r>
      <w:r w:rsidR="00F47409">
        <w:t>or</w:t>
      </w:r>
      <w:r w:rsidR="003568A6">
        <w:t xml:space="preserve"> (</w:t>
      </w:r>
      <w:r w:rsidR="002E1109">
        <w:t>Acquisition</w:t>
      </w:r>
      <w:r w:rsidR="003568A6">
        <w:t>)</w:t>
      </w:r>
      <w:r w:rsidR="002E1109">
        <w:t xml:space="preserve"> to </w:t>
      </w:r>
      <w:r w:rsidR="00681304">
        <w:t>the</w:t>
      </w:r>
      <w:r w:rsidR="003568A6">
        <w:t xml:space="preserve"> Contractor (Support) and </w:t>
      </w:r>
      <w:r w:rsidR="008C42FD">
        <w:t xml:space="preserve">to </w:t>
      </w:r>
      <w:r w:rsidR="003568A6">
        <w:t xml:space="preserve">Commonwealth support </w:t>
      </w:r>
      <w:r w:rsidR="00F47409">
        <w:t>organisations</w:t>
      </w:r>
      <w:r w:rsidR="003568A6">
        <w:t xml:space="preserve"> </w:t>
      </w:r>
      <w:r w:rsidR="002E1109">
        <w:t>have been identified and clearly defined;</w:t>
      </w:r>
    </w:p>
    <w:p w14:paraId="3978CD33" w14:textId="22783550" w:rsidR="003568A6" w:rsidRDefault="003568A6" w:rsidP="00E938CA">
      <w:pPr>
        <w:pStyle w:val="SOWSubL1-ASDEFCON"/>
      </w:pPr>
      <w:r>
        <w:t xml:space="preserve">demonstrate </w:t>
      </w:r>
      <w:r w:rsidR="002E1109">
        <w:t xml:space="preserve">that the </w:t>
      </w:r>
      <w:r w:rsidR="002B4DAE">
        <w:t xml:space="preserve">various </w:t>
      </w:r>
      <w:r w:rsidR="002E1109">
        <w:t xml:space="preserve">Commonwealth and contractor organisations involved in </w:t>
      </w:r>
      <w:r>
        <w:t xml:space="preserve">Transition </w:t>
      </w:r>
      <w:r w:rsidR="002E1109">
        <w:t xml:space="preserve">have been identified and their responsibilities </w:t>
      </w:r>
      <w:r w:rsidR="00413E75">
        <w:t xml:space="preserve">are </w:t>
      </w:r>
      <w:r w:rsidR="002E1109">
        <w:t>defined</w:t>
      </w:r>
      <w:r w:rsidR="00D41DF1">
        <w:t xml:space="preserve"> and agreed</w:t>
      </w:r>
      <w:r w:rsidR="002E1109">
        <w:t>;</w:t>
      </w:r>
    </w:p>
    <w:p w14:paraId="6A64ED06" w14:textId="77777777" w:rsidR="003568A6" w:rsidRDefault="003568A6" w:rsidP="00E938CA">
      <w:pPr>
        <w:pStyle w:val="SOWSubL1-ASDEFCON"/>
      </w:pPr>
      <w:r>
        <w:t xml:space="preserve">evaluate </w:t>
      </w:r>
      <w:r w:rsidR="002E1109">
        <w:t xml:space="preserve">the suitability of the Contractor Transition Plan </w:t>
      </w:r>
      <w:r>
        <w:t xml:space="preserve">(CTXP) </w:t>
      </w:r>
      <w:r w:rsidR="002E1109">
        <w:t xml:space="preserve">for </w:t>
      </w:r>
      <w:r>
        <w:t>managing</w:t>
      </w:r>
      <w:r w:rsidR="002E1109">
        <w:t xml:space="preserve"> </w:t>
      </w:r>
      <w:r>
        <w:t xml:space="preserve">Transition </w:t>
      </w:r>
      <w:r w:rsidR="00F47409">
        <w:t>activities</w:t>
      </w:r>
      <w:r w:rsidR="001E1EF1">
        <w:t xml:space="preserve">, particularly </w:t>
      </w:r>
      <w:r w:rsidR="009F4904">
        <w:t xml:space="preserve">in </w:t>
      </w:r>
      <w:r w:rsidR="001E1EF1">
        <w:t>regard</w:t>
      </w:r>
      <w:r w:rsidR="00624216">
        <w:t xml:space="preserve"> to</w:t>
      </w:r>
      <w:r w:rsidR="009F4904">
        <w:t>,</w:t>
      </w:r>
      <w:r w:rsidR="001E1EF1">
        <w:t xml:space="preserve"> but not limited to</w:t>
      </w:r>
      <w:r w:rsidR="009F4904">
        <w:t>,</w:t>
      </w:r>
      <w:r w:rsidR="001E1EF1">
        <w:t xml:space="preserve"> coordination with the Contract</w:t>
      </w:r>
      <w:r w:rsidR="00B52260">
        <w:t>or</w:t>
      </w:r>
      <w:r w:rsidR="001E1EF1">
        <w:t xml:space="preserve"> (Support)</w:t>
      </w:r>
      <w:r w:rsidR="00590D14">
        <w:t xml:space="preserve"> and Commonwealth organisations</w:t>
      </w:r>
      <w:r w:rsidR="00F47409">
        <w:t>;</w:t>
      </w:r>
    </w:p>
    <w:p w14:paraId="3CE5F4AB" w14:textId="78A20DB5" w:rsidR="002E1109" w:rsidRDefault="003568A6" w:rsidP="00E938CA">
      <w:pPr>
        <w:pStyle w:val="SOWSubL1-ASDEFCON"/>
      </w:pPr>
      <w:r>
        <w:t>evaluate the suitability of the Contract</w:t>
      </w:r>
      <w:r w:rsidR="002E1109">
        <w:t xml:space="preserve"> (Support)</w:t>
      </w:r>
      <w:r>
        <w:t xml:space="preserve"> Phase I</w:t>
      </w:r>
      <w:r w:rsidR="002E1109">
        <w:t xml:space="preserve">n Plan (PHIP) </w:t>
      </w:r>
      <w:r w:rsidR="002B4DAE">
        <w:t xml:space="preserve">and Ramp Up Management Plan (RUMP) </w:t>
      </w:r>
      <w:r>
        <w:t>to</w:t>
      </w:r>
      <w:r w:rsidR="002E1109">
        <w:t xml:space="preserve"> manag</w:t>
      </w:r>
      <w:r>
        <w:t>e</w:t>
      </w:r>
      <w:r w:rsidR="002E1109">
        <w:t xml:space="preserve"> </w:t>
      </w:r>
      <w:r w:rsidR="00F47409">
        <w:t>and coordinate Phase In</w:t>
      </w:r>
      <w:r>
        <w:t xml:space="preserve"> </w:t>
      </w:r>
      <w:r w:rsidR="002B4DAE">
        <w:t xml:space="preserve">and Ramp Up </w:t>
      </w:r>
      <w:r w:rsidR="00F47409">
        <w:t>activities</w:t>
      </w:r>
      <w:r w:rsidR="00413E75">
        <w:t xml:space="preserve"> </w:t>
      </w:r>
      <w:r w:rsidR="002B4DAE">
        <w:t xml:space="preserve">consistent </w:t>
      </w:r>
      <w:r>
        <w:t xml:space="preserve">with </w:t>
      </w:r>
      <w:r w:rsidR="009F4904">
        <w:t xml:space="preserve">the </w:t>
      </w:r>
      <w:r>
        <w:t>T</w:t>
      </w:r>
      <w:r w:rsidR="002E1109">
        <w:t>ransition activities</w:t>
      </w:r>
      <w:r>
        <w:t xml:space="preserve"> </w:t>
      </w:r>
      <w:r w:rsidR="00F47409">
        <w:t xml:space="preserve">defined </w:t>
      </w:r>
      <w:r>
        <w:t>in the CTXP</w:t>
      </w:r>
      <w:r w:rsidR="002E1109">
        <w:t>;</w:t>
      </w:r>
    </w:p>
    <w:p w14:paraId="5CE816C4" w14:textId="7BF4DC2D" w:rsidR="002E1109" w:rsidRDefault="003568A6" w:rsidP="00E938CA">
      <w:pPr>
        <w:pStyle w:val="SOWSubL1-ASDEFCON"/>
      </w:pPr>
      <w:r>
        <w:t xml:space="preserve">evaluate </w:t>
      </w:r>
      <w:r w:rsidR="002E1109">
        <w:t xml:space="preserve">the suitability of </w:t>
      </w:r>
      <w:r w:rsidR="00F47409">
        <w:t>specified</w:t>
      </w:r>
      <w:r>
        <w:t xml:space="preserve"> Contract (Support)</w:t>
      </w:r>
      <w:r w:rsidR="002E1109">
        <w:t xml:space="preserve"> </w:t>
      </w:r>
      <w:r w:rsidR="00F47409">
        <w:t xml:space="preserve">management </w:t>
      </w:r>
      <w:r w:rsidR="002E1109">
        <w:t xml:space="preserve">plans </w:t>
      </w:r>
      <w:r w:rsidR="00D41DF1">
        <w:t>for the purpose of</w:t>
      </w:r>
      <w:r w:rsidR="002E1109">
        <w:t xml:space="preserve"> manag</w:t>
      </w:r>
      <w:r w:rsidR="00D41DF1">
        <w:t>ing</w:t>
      </w:r>
      <w:r w:rsidR="002E1109">
        <w:t xml:space="preserve"> the Services needed </w:t>
      </w:r>
      <w:r w:rsidR="002B4DAE">
        <w:t xml:space="preserve">to support </w:t>
      </w:r>
      <w:r w:rsidR="002E1109">
        <w:t>the Materiel System</w:t>
      </w:r>
      <w:r w:rsidR="00F47409">
        <w:t>;</w:t>
      </w:r>
    </w:p>
    <w:p w14:paraId="4EBE4474" w14:textId="7BAF9B43" w:rsidR="0036290C" w:rsidRDefault="0036290C" w:rsidP="00E938CA">
      <w:pPr>
        <w:pStyle w:val="SOWSubL1-ASDEFCON"/>
      </w:pPr>
      <w:r>
        <w:t xml:space="preserve">obtain the acknowledgement </w:t>
      </w:r>
      <w:r w:rsidR="004A3214">
        <w:t>and agreement of all parties attending the TXR</w:t>
      </w:r>
      <w:r>
        <w:t>R</w:t>
      </w:r>
      <w:r w:rsidR="00590D14">
        <w:t xml:space="preserve"> of</w:t>
      </w:r>
      <w:r>
        <w:t xml:space="preserve"> their </w:t>
      </w:r>
      <w:r w:rsidR="004A3214">
        <w:t>responsibilities for Transition;</w:t>
      </w:r>
    </w:p>
    <w:p w14:paraId="086FBEC9" w14:textId="77777777" w:rsidR="00703777" w:rsidRDefault="003568A6" w:rsidP="00E938CA">
      <w:pPr>
        <w:pStyle w:val="SOWSubL1-ASDEFCON"/>
      </w:pPr>
      <w:r w:rsidRPr="004A3214">
        <w:t xml:space="preserve">evaluate </w:t>
      </w:r>
      <w:r w:rsidR="002E1109" w:rsidRPr="004A3214">
        <w:t xml:space="preserve">the suitability of </w:t>
      </w:r>
      <w:r w:rsidRPr="004A3214">
        <w:t xml:space="preserve">the </w:t>
      </w:r>
      <w:r w:rsidR="002E1109" w:rsidRPr="004A3214">
        <w:t>Support Resources</w:t>
      </w:r>
      <w:r w:rsidR="004A3214">
        <w:t>,</w:t>
      </w:r>
      <w:r w:rsidR="002E1109">
        <w:t xml:space="preserve"> to </w:t>
      </w:r>
      <w:r w:rsidR="004A3214">
        <w:t xml:space="preserve">be </w:t>
      </w:r>
      <w:r w:rsidR="00836ED1">
        <w:t>transitioned</w:t>
      </w:r>
      <w:r w:rsidR="004A3214">
        <w:t>, in enabling the Contract</w:t>
      </w:r>
      <w:r w:rsidR="00984B86">
        <w:t xml:space="preserve"> (Support) to achieve the applic</w:t>
      </w:r>
      <w:r w:rsidR="004A3214">
        <w:t xml:space="preserve">able requirements of the Support System </w:t>
      </w:r>
      <w:r w:rsidR="009F4904">
        <w:t>F</w:t>
      </w:r>
      <w:r w:rsidR="00836ED1">
        <w:t xml:space="preserve">unctional </w:t>
      </w:r>
      <w:r w:rsidR="009F4904">
        <w:t>B</w:t>
      </w:r>
      <w:r w:rsidR="00836ED1">
        <w:t xml:space="preserve">ase </w:t>
      </w:r>
      <w:r w:rsidR="009F4904">
        <w:t>L</w:t>
      </w:r>
      <w:r w:rsidR="00836ED1">
        <w:t>ine</w:t>
      </w:r>
      <w:r w:rsidR="009F4904">
        <w:t xml:space="preserve"> </w:t>
      </w:r>
      <w:r w:rsidR="004A3214">
        <w:t>(SSFBL)</w:t>
      </w:r>
      <w:r w:rsidR="00703777">
        <w:t>; and</w:t>
      </w:r>
    </w:p>
    <w:p w14:paraId="7454FB84" w14:textId="54341BA8" w:rsidR="002E1109" w:rsidRDefault="00703777" w:rsidP="00E938CA">
      <w:pPr>
        <w:pStyle w:val="SOWSubL1-ASDEFCON"/>
      </w:pPr>
      <w:r>
        <w:t xml:space="preserve">demonstrate that any </w:t>
      </w:r>
      <w:r w:rsidR="00A67334">
        <w:t>sustainment-related Industrial</w:t>
      </w:r>
      <w:r>
        <w:t xml:space="preserve"> Capabilities established (in whole or in part) in Australian Entities under the Contract (Acquisition) will be appropriately transitioned to enable</w:t>
      </w:r>
      <w:r w:rsidRPr="00703777">
        <w:t xml:space="preserve"> </w:t>
      </w:r>
      <w:r>
        <w:t>the Contract (Support) to achieve the applicable requirements of the SSFBL, including in relation to Defence-Required Australian Industr</w:t>
      </w:r>
      <w:r w:rsidR="00A67334">
        <w:t>ial</w:t>
      </w:r>
      <w:r>
        <w:t xml:space="preserve"> Capabilities (DRAICs) and other applicable Australian Industr</w:t>
      </w:r>
      <w:r w:rsidR="00070FD9">
        <w:t>ial</w:t>
      </w:r>
      <w:r>
        <w:t xml:space="preserve"> Activities (AIAs) identified in Attachment F</w:t>
      </w:r>
      <w:r w:rsidR="002E1109">
        <w:t>.</w:t>
      </w:r>
    </w:p>
    <w:p w14:paraId="7B41EDF0" w14:textId="1AE44F5B" w:rsidR="00F47409" w:rsidRDefault="009F4904" w:rsidP="00E938CA">
      <w:pPr>
        <w:pStyle w:val="SOWTL2-ASDEFCON"/>
      </w:pPr>
      <w:r>
        <w:t xml:space="preserve">As required by the </w:t>
      </w:r>
      <w:r w:rsidR="00590D14">
        <w:t xml:space="preserve">Contract (Acquisition) </w:t>
      </w:r>
      <w:r>
        <w:t>SOW</w:t>
      </w:r>
      <w:r w:rsidR="00CF77F7">
        <w:t xml:space="preserve"> and </w:t>
      </w:r>
      <w:r w:rsidR="00D41DF1">
        <w:t xml:space="preserve">the </w:t>
      </w:r>
      <w:r w:rsidR="00CF77F7">
        <w:t>Contract (Support) SOW</w:t>
      </w:r>
      <w:r>
        <w:t>, t</w:t>
      </w:r>
      <w:r w:rsidR="002E1109">
        <w:t xml:space="preserve">he TXRR </w:t>
      </w:r>
      <w:r>
        <w:t>is</w:t>
      </w:r>
      <w:r w:rsidR="00F47409">
        <w:t xml:space="preserve"> attended </w:t>
      </w:r>
      <w:r>
        <w:t xml:space="preserve">by </w:t>
      </w:r>
      <w:r w:rsidR="002F77FE">
        <w:t xml:space="preserve">representatives from </w:t>
      </w:r>
      <w:r w:rsidR="00D41DF1">
        <w:t xml:space="preserve">organisations with significant </w:t>
      </w:r>
      <w:r>
        <w:t>involve</w:t>
      </w:r>
      <w:r w:rsidR="00D41DF1">
        <w:t>ment</w:t>
      </w:r>
      <w:r>
        <w:t xml:space="preserve"> in </w:t>
      </w:r>
      <w:r w:rsidR="00B448B1">
        <w:t xml:space="preserve">the </w:t>
      </w:r>
      <w:r>
        <w:t>Transition and in-service support</w:t>
      </w:r>
      <w:r w:rsidR="00D41DF1">
        <w:t xml:space="preserve"> of the </w:t>
      </w:r>
      <w:r w:rsidR="008C42FD">
        <w:t>Materiel System</w:t>
      </w:r>
      <w:r>
        <w:t xml:space="preserve"> including</w:t>
      </w:r>
      <w:r w:rsidR="008C42FD">
        <w:t>, as applicable,</w:t>
      </w:r>
      <w:r>
        <w:t xml:space="preserve"> </w:t>
      </w:r>
      <w:r w:rsidR="00F47409">
        <w:t>the</w:t>
      </w:r>
      <w:r w:rsidR="002E1109">
        <w:t xml:space="preserve"> Commonwealth</w:t>
      </w:r>
      <w:r w:rsidR="009E1324">
        <w:t xml:space="preserve"> acquisition and support </w:t>
      </w:r>
      <w:r w:rsidR="00590D14">
        <w:t>organisations</w:t>
      </w:r>
      <w:r w:rsidR="00F47409">
        <w:t>, Contractor (Acquisition)</w:t>
      </w:r>
      <w:r>
        <w:t>, Approved Subcontractors (Acquisition),</w:t>
      </w:r>
      <w:r w:rsidR="00F47409">
        <w:t xml:space="preserve"> </w:t>
      </w:r>
      <w:r w:rsidR="002F77FE">
        <w:t xml:space="preserve">the </w:t>
      </w:r>
      <w:r w:rsidR="002E1109">
        <w:t>Cont</w:t>
      </w:r>
      <w:r w:rsidR="009E1324">
        <w:t>r</w:t>
      </w:r>
      <w:r w:rsidR="002E1109">
        <w:t>actor (Support)</w:t>
      </w:r>
      <w:r w:rsidR="009E1324">
        <w:t xml:space="preserve"> and Approved Subcontractors (Support)</w:t>
      </w:r>
      <w:r w:rsidR="00F47409">
        <w:t>.</w:t>
      </w:r>
    </w:p>
    <w:p w14:paraId="2B51FB1D" w14:textId="77777777" w:rsidR="00B52260" w:rsidRDefault="00B52260" w:rsidP="00E938CA">
      <w:pPr>
        <w:pStyle w:val="SOWTL2-ASDEFCON"/>
      </w:pPr>
      <w:r w:rsidRPr="00B52260">
        <w:t xml:space="preserve">This </w:t>
      </w:r>
      <w:r>
        <w:t xml:space="preserve">MSR </w:t>
      </w:r>
      <w:r w:rsidRPr="00B52260">
        <w:t xml:space="preserve">Checklist sets out the Commonwealth’s requirements and minimum expectations for the conduct of a </w:t>
      </w:r>
      <w:r>
        <w:t>TXRR</w:t>
      </w:r>
      <w:r w:rsidRPr="00B52260">
        <w:t>.</w:t>
      </w:r>
    </w:p>
    <w:p w14:paraId="031B42CF" w14:textId="72BFFBAE" w:rsidR="00DF588E" w:rsidRDefault="00DF588E" w:rsidP="00E938CA">
      <w:pPr>
        <w:pStyle w:val="Note-ASDEFCON"/>
      </w:pPr>
      <w:r>
        <w:t>Note:</w:t>
      </w:r>
      <w:r w:rsidR="002E3F04">
        <w:t xml:space="preserve"> </w:t>
      </w:r>
      <w:r>
        <w:t xml:space="preserve"> Transition activities transfer responsibilities, Support Resources, and often skills, from the Contractor (Acquisition) to in-service organisations, including the Contractor (Support). </w:t>
      </w:r>
      <w:r w:rsidR="00E938CA">
        <w:t xml:space="preserve"> </w:t>
      </w:r>
      <w:r>
        <w:t>The Contractor (Acquisition) and</w:t>
      </w:r>
      <w:r w:rsidRPr="00CF70DC">
        <w:t xml:space="preserve"> </w:t>
      </w:r>
      <w:r>
        <w:t xml:space="preserve">Contractor (Support) may be related entities, separate entities working under a formal agreement, or Associated Parties. </w:t>
      </w:r>
      <w:r w:rsidR="00E938CA">
        <w:t xml:space="preserve"> </w:t>
      </w:r>
      <w:r>
        <w:t xml:space="preserve">The type of relationship between contractors will likely influence the level of visibility of </w:t>
      </w:r>
      <w:proofErr w:type="spellStart"/>
      <w:r>
        <w:t>each others’</w:t>
      </w:r>
      <w:proofErr w:type="spellEnd"/>
      <w:r>
        <w:t xml:space="preserve"> contract and data items, but in all cases the Commonwealth, Contractor (Acquisition), Contractor (Support) and applicable </w:t>
      </w:r>
      <w:r>
        <w:lastRenderedPageBreak/>
        <w:t>Subcontractors will need to co-operate in order to implement the Support System, as defined by the Support System Description (SSDESC) delivered under the Contract (Acquisition).</w:t>
      </w:r>
      <w:r w:rsidR="00E938CA">
        <w:t xml:space="preserve"> </w:t>
      </w:r>
      <w:r>
        <w:t xml:space="preserve"> Accordingly, where contractors are Associated Parties, the accountability of one or the other for individual checklist items may vary, but all parties remain responsible for sharing information and collaborating, consistent with the Transition, Phase In, Ramp Up and Co-ordination and Co-operation clauses applicable to each contract.</w:t>
      </w:r>
    </w:p>
    <w:p w14:paraId="47DEA650" w14:textId="77777777" w:rsidR="002E1109" w:rsidRDefault="002E1109" w:rsidP="00E938CA">
      <w:pPr>
        <w:pStyle w:val="SOWHL1-ASDEFCON"/>
      </w:pPr>
      <w:bookmarkStart w:id="4" w:name="_Toc515805640"/>
      <w:r>
        <w:t>INTER-RELATIONSHIPS</w:t>
      </w:r>
      <w:bookmarkEnd w:id="4"/>
    </w:p>
    <w:p w14:paraId="439F1DDC" w14:textId="77777777" w:rsidR="002E1109" w:rsidRDefault="002E1109" w:rsidP="00E938CA">
      <w:pPr>
        <w:pStyle w:val="SOWTL2-ASDEFCON"/>
      </w:pPr>
      <w:r>
        <w:t xml:space="preserve">The TXRR shall be conducted in accordance with the </w:t>
      </w:r>
      <w:r w:rsidR="00211078">
        <w:t xml:space="preserve">Approved </w:t>
      </w:r>
      <w:r>
        <w:t xml:space="preserve">System Review Plan (SRP) and shall </w:t>
      </w:r>
      <w:r w:rsidR="003B706B">
        <w:t>be consistent with</w:t>
      </w:r>
      <w:r w:rsidR="0036290C">
        <w:t xml:space="preserve"> the following plans, </w:t>
      </w:r>
      <w:r w:rsidR="008F3EC9">
        <w:t xml:space="preserve">if </w:t>
      </w:r>
      <w:r w:rsidR="0036290C">
        <w:t>these plans are required under the Contract</w:t>
      </w:r>
      <w:r w:rsidR="002F77FE">
        <w:t xml:space="preserve"> (Acquisition)</w:t>
      </w:r>
      <w:r>
        <w:t>:</w:t>
      </w:r>
    </w:p>
    <w:p w14:paraId="4A4966C0" w14:textId="77777777" w:rsidR="002E1109" w:rsidRDefault="002E1109" w:rsidP="00E938CA">
      <w:pPr>
        <w:pStyle w:val="SOWSubL1-ASDEFCON"/>
      </w:pPr>
      <w:r>
        <w:t>Contractor Transition Plan (CTXP);</w:t>
      </w:r>
    </w:p>
    <w:p w14:paraId="7CF7A7D1" w14:textId="77777777" w:rsidR="002E1109" w:rsidRDefault="00EE241A" w:rsidP="00E938CA">
      <w:pPr>
        <w:pStyle w:val="SOWSubL1-ASDEFCON"/>
      </w:pPr>
      <w:r>
        <w:t>Project Management Plan (PMP)</w:t>
      </w:r>
      <w:r w:rsidR="0036290C">
        <w:t>;</w:t>
      </w:r>
    </w:p>
    <w:p w14:paraId="43EDF57C" w14:textId="77777777" w:rsidR="001C7E66" w:rsidRDefault="00EE241A" w:rsidP="00E938CA">
      <w:pPr>
        <w:pStyle w:val="SOWSubL1-ASDEFCON"/>
      </w:pPr>
      <w:r>
        <w:t>Integrated Support Plan (ISP)</w:t>
      </w:r>
      <w:r w:rsidR="0036290C">
        <w:t>;</w:t>
      </w:r>
    </w:p>
    <w:p w14:paraId="1AEF79EE" w14:textId="5E8DB498" w:rsidR="006D5544" w:rsidRDefault="006D5544" w:rsidP="00E938CA">
      <w:pPr>
        <w:pStyle w:val="SOWSubL1-ASDEFCON"/>
      </w:pPr>
      <w:r>
        <w:t>Australian Industry Capability (AIC) Plan</w:t>
      </w:r>
      <w:r w:rsidR="00703777">
        <w:t xml:space="preserve"> and other AIC-related plans (</w:t>
      </w:r>
      <w:proofErr w:type="spellStart"/>
      <w:r w:rsidR="00703777">
        <w:t>eg</w:t>
      </w:r>
      <w:proofErr w:type="spellEnd"/>
      <w:r w:rsidR="00703777">
        <w:t>, DRAIC Plan (DRAICP))</w:t>
      </w:r>
      <w:r>
        <w:t>;</w:t>
      </w:r>
    </w:p>
    <w:p w14:paraId="702557CE" w14:textId="43C50CD5" w:rsidR="0036290C" w:rsidRDefault="00DF5185" w:rsidP="00E938CA">
      <w:pPr>
        <w:pStyle w:val="SOWSubL1-ASDEFCON"/>
      </w:pPr>
      <w:r>
        <w:t>Verification and Validation Plan</w:t>
      </w:r>
      <w:r w:rsidR="00FD0C5C">
        <w:t xml:space="preserve"> (V&amp;VP)</w:t>
      </w:r>
      <w:r>
        <w:t xml:space="preserve">; </w:t>
      </w:r>
      <w:r w:rsidR="002E1109">
        <w:t>and</w:t>
      </w:r>
    </w:p>
    <w:p w14:paraId="63A66A74" w14:textId="77777777" w:rsidR="002E1109" w:rsidRDefault="002E1109" w:rsidP="00E938CA">
      <w:pPr>
        <w:pStyle w:val="SOWSubL1-ASDEFCON"/>
      </w:pPr>
      <w:r>
        <w:t xml:space="preserve">subordinate plans </w:t>
      </w:r>
      <w:r w:rsidR="0036290C">
        <w:t xml:space="preserve">to the above that are </w:t>
      </w:r>
      <w:r>
        <w:t>applicable to</w:t>
      </w:r>
      <w:r w:rsidR="0036290C">
        <w:t xml:space="preserve"> Transition activities</w:t>
      </w:r>
      <w:r w:rsidR="002F77FE">
        <w:t>,</w:t>
      </w:r>
      <w:r w:rsidR="0036290C">
        <w:t xml:space="preserve"> </w:t>
      </w:r>
      <w:r>
        <w:t>the implementation of Support Resources</w:t>
      </w:r>
      <w:r w:rsidR="00E41770">
        <w:t>,</w:t>
      </w:r>
      <w:r w:rsidR="0036290C">
        <w:t xml:space="preserve"> and</w:t>
      </w:r>
      <w:r w:rsidR="00E41770">
        <w:t>/or</w:t>
      </w:r>
      <w:r w:rsidR="0036290C">
        <w:t xml:space="preserve"> initial Training</w:t>
      </w:r>
      <w:r>
        <w:t>.</w:t>
      </w:r>
    </w:p>
    <w:bookmarkEnd w:id="1"/>
    <w:p w14:paraId="024EBE49" w14:textId="77777777" w:rsidR="00BA5FF1" w:rsidRDefault="00BA5FF1" w:rsidP="00E938CA">
      <w:pPr>
        <w:pStyle w:val="SOWTL2-ASDEFCON"/>
      </w:pPr>
      <w:r>
        <w:t xml:space="preserve">The TXRR inter-relates with the following data items, </w:t>
      </w:r>
      <w:r w:rsidR="008F3EC9">
        <w:t xml:space="preserve">if </w:t>
      </w:r>
      <w:r>
        <w:t>these data items are required under the Contract</w:t>
      </w:r>
      <w:r w:rsidR="00321735">
        <w:t xml:space="preserve"> (Acquisition)</w:t>
      </w:r>
      <w:r>
        <w:t>:</w:t>
      </w:r>
    </w:p>
    <w:p w14:paraId="21E69757" w14:textId="77777777" w:rsidR="00345F53" w:rsidRDefault="00345F53" w:rsidP="00E938CA">
      <w:pPr>
        <w:pStyle w:val="SOWSubL1-ASDEFCON"/>
      </w:pPr>
      <w:r>
        <w:t>Support System Description (SSDESC);</w:t>
      </w:r>
    </w:p>
    <w:p w14:paraId="2648AD84" w14:textId="77777777" w:rsidR="00EE0B88" w:rsidRDefault="00EE0B88" w:rsidP="00E938CA">
      <w:pPr>
        <w:pStyle w:val="SOWSubL1-ASDEFCON"/>
      </w:pPr>
      <w:r>
        <w:t>Site Installation Plan (SIP);</w:t>
      </w:r>
    </w:p>
    <w:p w14:paraId="4D356151" w14:textId="77777777" w:rsidR="00345F53" w:rsidRDefault="00345F53" w:rsidP="00E938CA">
      <w:pPr>
        <w:pStyle w:val="SOWSubL1-ASDEFCON"/>
      </w:pPr>
      <w:r>
        <w:t>Recommended Spares Provisioning List (RSPL);</w:t>
      </w:r>
    </w:p>
    <w:p w14:paraId="13E33B64" w14:textId="77777777" w:rsidR="00345F53" w:rsidRDefault="00345F53" w:rsidP="00E938CA">
      <w:pPr>
        <w:pStyle w:val="SOWSubL1-ASDEFCON"/>
      </w:pPr>
      <w:r>
        <w:t xml:space="preserve">Support and Test Equipment </w:t>
      </w:r>
      <w:r w:rsidR="001C7E66">
        <w:t xml:space="preserve">(S&amp;TE) </w:t>
      </w:r>
      <w:r>
        <w:t>Provisioning List (S&amp;TEPL);</w:t>
      </w:r>
    </w:p>
    <w:p w14:paraId="0F6A3270" w14:textId="77777777" w:rsidR="00345F53" w:rsidRDefault="00345F53" w:rsidP="00E938CA">
      <w:pPr>
        <w:pStyle w:val="SOWSubL1-ASDEFCON"/>
      </w:pPr>
      <w:r>
        <w:t>Packaging Provisioning List (PACKPL);</w:t>
      </w:r>
    </w:p>
    <w:p w14:paraId="781DB49F" w14:textId="77777777" w:rsidR="00345F53" w:rsidRDefault="00345F53" w:rsidP="00E938CA">
      <w:pPr>
        <w:pStyle w:val="SOWSubL1-ASDEFCON"/>
      </w:pPr>
      <w:r>
        <w:t>Training Equipment List (TEL);</w:t>
      </w:r>
    </w:p>
    <w:p w14:paraId="26A731F9" w14:textId="77777777" w:rsidR="006F5544" w:rsidRDefault="006F5544" w:rsidP="00E938CA">
      <w:pPr>
        <w:pStyle w:val="SOWSubL1-ASDEFCON"/>
      </w:pPr>
      <w:r>
        <w:t>Training Materials List (TML);</w:t>
      </w:r>
    </w:p>
    <w:p w14:paraId="7734DAD2" w14:textId="77777777" w:rsidR="00DF588E" w:rsidRDefault="006C5943" w:rsidP="00E938CA">
      <w:pPr>
        <w:pStyle w:val="SOWSubL1-ASDEFCON"/>
      </w:pPr>
      <w:r>
        <w:t>Learning</w:t>
      </w:r>
      <w:r w:rsidR="00DF588E">
        <w:t xml:space="preserve"> Management Package (</w:t>
      </w:r>
      <w:r>
        <w:t>L</w:t>
      </w:r>
      <w:r w:rsidR="00DF588E">
        <w:t>MP);</w:t>
      </w:r>
    </w:p>
    <w:p w14:paraId="41BBA16D" w14:textId="77777777" w:rsidR="00345F53" w:rsidRDefault="006F5544" w:rsidP="00E938CA">
      <w:pPr>
        <w:pStyle w:val="SOWSubL1-ASDEFCON"/>
      </w:pPr>
      <w:r>
        <w:t xml:space="preserve">Support System </w:t>
      </w:r>
      <w:r w:rsidR="00345F53">
        <w:t>Technical Data List (</w:t>
      </w:r>
      <w:r>
        <w:t>SS</w:t>
      </w:r>
      <w:r w:rsidR="00345F53">
        <w:t>TDL);</w:t>
      </w:r>
    </w:p>
    <w:p w14:paraId="562CA53E" w14:textId="77777777" w:rsidR="006F5544" w:rsidRDefault="006F5544" w:rsidP="00E938CA">
      <w:pPr>
        <w:pStyle w:val="SOWSubL1-ASDEFCON"/>
      </w:pPr>
      <w:r>
        <w:t>Australia and New Zealand Technical Data List (ASTDL);</w:t>
      </w:r>
    </w:p>
    <w:p w14:paraId="09CC22C7" w14:textId="77777777" w:rsidR="00345F53" w:rsidRDefault="00345F53" w:rsidP="00E938CA">
      <w:pPr>
        <w:pStyle w:val="SOWSubL1-ASDEFCON"/>
      </w:pPr>
      <w:r>
        <w:t xml:space="preserve">Logistic </w:t>
      </w:r>
      <w:r w:rsidR="007204F1">
        <w:t>Support Analysis</w:t>
      </w:r>
      <w:r>
        <w:t xml:space="preserve"> </w:t>
      </w:r>
      <w:r w:rsidR="007204F1">
        <w:t>Record (LSA</w:t>
      </w:r>
      <w:r>
        <w:t>R);</w:t>
      </w:r>
    </w:p>
    <w:p w14:paraId="775EEB4E" w14:textId="77777777" w:rsidR="00345F53" w:rsidRDefault="00345F53" w:rsidP="00E938CA">
      <w:pPr>
        <w:pStyle w:val="SOWSubL1-ASDEFCON"/>
      </w:pPr>
      <w:r>
        <w:t>Software Support Plan (SWSP); and</w:t>
      </w:r>
    </w:p>
    <w:p w14:paraId="0F760653" w14:textId="77777777" w:rsidR="00BA5FF1" w:rsidRDefault="00345F53" w:rsidP="00E938CA">
      <w:pPr>
        <w:pStyle w:val="SOWSubL1-ASDEFCON"/>
      </w:pPr>
      <w:r>
        <w:t>Disposal Plan (DISP).</w:t>
      </w:r>
    </w:p>
    <w:p w14:paraId="3DDD62B6" w14:textId="77777777" w:rsidR="003A21F9" w:rsidRDefault="003A21F9" w:rsidP="00E938CA">
      <w:pPr>
        <w:pStyle w:val="Note-ASDEFCON"/>
      </w:pPr>
      <w:r>
        <w:t>Note:</w:t>
      </w:r>
      <w:r w:rsidR="002E3F04">
        <w:t xml:space="preserve"> </w:t>
      </w:r>
      <w:r>
        <w:t xml:space="preserve"> </w:t>
      </w:r>
      <w:r w:rsidR="00CA4173">
        <w:t xml:space="preserve">The </w:t>
      </w:r>
      <w:r w:rsidR="003621BF">
        <w:t>PHIP</w:t>
      </w:r>
      <w:r w:rsidR="001916A9">
        <w:t xml:space="preserve"> and RUMP</w:t>
      </w:r>
      <w:r w:rsidR="003621BF">
        <w:t xml:space="preserve"> </w:t>
      </w:r>
      <w:r w:rsidR="00A72714">
        <w:t>include</w:t>
      </w:r>
      <w:r w:rsidR="00C22799">
        <w:t xml:space="preserve"> the</w:t>
      </w:r>
      <w:r w:rsidR="00CA4173">
        <w:t xml:space="preserve"> </w:t>
      </w:r>
      <w:r w:rsidR="003621BF">
        <w:t>Contractor (Support)</w:t>
      </w:r>
      <w:r w:rsidR="00C22799">
        <w:t>’s</w:t>
      </w:r>
      <w:r w:rsidR="003621BF">
        <w:t xml:space="preserve"> plan</w:t>
      </w:r>
      <w:r w:rsidR="001916A9">
        <w:t>s</w:t>
      </w:r>
      <w:r w:rsidR="003621BF">
        <w:t xml:space="preserve"> for receiving Supplies from the Contractor (Acquisition) and </w:t>
      </w:r>
      <w:r w:rsidR="00CA11A2">
        <w:t xml:space="preserve">GFM from </w:t>
      </w:r>
      <w:r w:rsidR="00CA4173">
        <w:t xml:space="preserve">the </w:t>
      </w:r>
      <w:r w:rsidR="003621BF">
        <w:t>Commonwealth</w:t>
      </w:r>
      <w:r w:rsidR="00A569DB">
        <w:t xml:space="preserve">; </w:t>
      </w:r>
      <w:r w:rsidR="00C22799">
        <w:t xml:space="preserve">both plans are to address </w:t>
      </w:r>
      <w:r w:rsidR="00CA11A2">
        <w:t>issues</w:t>
      </w:r>
      <w:r w:rsidR="003621BF">
        <w:t xml:space="preserve"> </w:t>
      </w:r>
      <w:r w:rsidR="00A569DB">
        <w:t>considered</w:t>
      </w:r>
      <w:r w:rsidR="003B706B">
        <w:t xml:space="preserve"> </w:t>
      </w:r>
      <w:r w:rsidR="00836ED1">
        <w:t>at</w:t>
      </w:r>
      <w:r w:rsidR="003B706B">
        <w:t xml:space="preserve"> </w:t>
      </w:r>
      <w:r w:rsidR="003621BF">
        <w:t xml:space="preserve">the TXRR.  </w:t>
      </w:r>
      <w:r w:rsidR="00CA4173">
        <w:t xml:space="preserve">The </w:t>
      </w:r>
      <w:r w:rsidR="003621BF">
        <w:t>Contract (Support)</w:t>
      </w:r>
      <w:r w:rsidR="00A72714">
        <w:t xml:space="preserve"> Services </w:t>
      </w:r>
      <w:r w:rsidR="002F77FE">
        <w:t xml:space="preserve">management plans </w:t>
      </w:r>
      <w:r>
        <w:t xml:space="preserve">describe how </w:t>
      </w:r>
      <w:r w:rsidR="00F729E5">
        <w:t xml:space="preserve">the </w:t>
      </w:r>
      <w:r w:rsidR="00A72714">
        <w:t xml:space="preserve">Contractor (Support) </w:t>
      </w:r>
      <w:r w:rsidR="00F729E5">
        <w:t xml:space="preserve">will manage their part </w:t>
      </w:r>
      <w:r w:rsidR="00A72714">
        <w:t xml:space="preserve">of </w:t>
      </w:r>
      <w:r>
        <w:t>the Support System</w:t>
      </w:r>
      <w:r w:rsidR="003621BF">
        <w:t>;</w:t>
      </w:r>
      <w:r>
        <w:t xml:space="preserve"> hence</w:t>
      </w:r>
      <w:r w:rsidR="00CA4173">
        <w:t>,</w:t>
      </w:r>
      <w:r>
        <w:t xml:space="preserve"> </w:t>
      </w:r>
      <w:r w:rsidR="00A72714">
        <w:t>the</w:t>
      </w:r>
      <w:r w:rsidR="00F729E5">
        <w:t>se</w:t>
      </w:r>
      <w:r w:rsidR="003621BF">
        <w:t xml:space="preserve"> </w:t>
      </w:r>
      <w:r>
        <w:t xml:space="preserve">are relevant to </w:t>
      </w:r>
      <w:r w:rsidR="003B706B">
        <w:t xml:space="preserve">defining </w:t>
      </w:r>
      <w:r>
        <w:t>the end</w:t>
      </w:r>
      <w:r w:rsidR="00CA4173">
        <w:t>-</w:t>
      </w:r>
      <w:r>
        <w:t>state of the Transition process</w:t>
      </w:r>
      <w:r w:rsidR="003621BF">
        <w:t xml:space="preserve"> and are reviewed accordingly</w:t>
      </w:r>
      <w:r>
        <w:t>.</w:t>
      </w:r>
    </w:p>
    <w:p w14:paraId="7120C1AC" w14:textId="77777777" w:rsidR="002E1109" w:rsidRDefault="002F77FE" w:rsidP="00E938CA">
      <w:pPr>
        <w:pStyle w:val="SOWTL2-ASDEFCON"/>
      </w:pPr>
      <w:bookmarkStart w:id="5" w:name="_Ref411330335"/>
      <w:r>
        <w:t xml:space="preserve">The TXRR </w:t>
      </w:r>
      <w:r w:rsidR="003B706B">
        <w:t>considers</w:t>
      </w:r>
      <w:r w:rsidR="003A21F9">
        <w:t xml:space="preserve"> </w:t>
      </w:r>
      <w:r>
        <w:t xml:space="preserve">the relevant requirements of the following plans </w:t>
      </w:r>
      <w:r w:rsidR="008F3EC9">
        <w:t xml:space="preserve">if </w:t>
      </w:r>
      <w:r>
        <w:t xml:space="preserve">these plans are required </w:t>
      </w:r>
      <w:r w:rsidR="003621BF">
        <w:t>by</w:t>
      </w:r>
      <w:r>
        <w:t xml:space="preserve"> the Contract (Support)</w:t>
      </w:r>
      <w:r w:rsidR="003A21F9">
        <w:t xml:space="preserve"> </w:t>
      </w:r>
      <w:r w:rsidR="003621BF">
        <w:t xml:space="preserve">CDRL </w:t>
      </w:r>
      <w:r w:rsidR="003A21F9">
        <w:t>for delivery prior to the TXRR</w:t>
      </w:r>
      <w:r>
        <w:t>:</w:t>
      </w:r>
      <w:bookmarkEnd w:id="5"/>
    </w:p>
    <w:p w14:paraId="10B2D05C" w14:textId="77777777" w:rsidR="003A21F9" w:rsidRDefault="003A21F9" w:rsidP="00E938CA">
      <w:pPr>
        <w:pStyle w:val="SOWSubL1-ASDEFCON"/>
      </w:pPr>
      <w:r>
        <w:t>Phase In Plan (PHIP);</w:t>
      </w:r>
    </w:p>
    <w:p w14:paraId="36F00A0D" w14:textId="77777777" w:rsidR="00FD0C5C" w:rsidRDefault="00FD0C5C" w:rsidP="00E938CA">
      <w:pPr>
        <w:pStyle w:val="SOWSubL1-ASDEFCON"/>
      </w:pPr>
      <w:r>
        <w:t xml:space="preserve">Ramp </w:t>
      </w:r>
      <w:r w:rsidR="000E57FD">
        <w:t xml:space="preserve">Up </w:t>
      </w:r>
      <w:r>
        <w:t>Management Plan (RUMP);</w:t>
      </w:r>
    </w:p>
    <w:p w14:paraId="31BE6A24" w14:textId="77777777" w:rsidR="002F77FE" w:rsidRDefault="002F77FE" w:rsidP="00E938CA">
      <w:pPr>
        <w:pStyle w:val="SOWSubL1-ASDEFCON"/>
      </w:pPr>
      <w:r>
        <w:t>Support Services Management Plan (SSMP);</w:t>
      </w:r>
    </w:p>
    <w:p w14:paraId="70FAC39D" w14:textId="77777777" w:rsidR="002E1109" w:rsidRDefault="002E1109" w:rsidP="00E938CA">
      <w:pPr>
        <w:pStyle w:val="SOWSubL1-ASDEFCON"/>
      </w:pPr>
      <w:r>
        <w:t>Operating Support Plan (OSP);</w:t>
      </w:r>
    </w:p>
    <w:p w14:paraId="5F2F4463" w14:textId="77777777" w:rsidR="002E1109" w:rsidRDefault="002E1109" w:rsidP="00E938CA">
      <w:pPr>
        <w:pStyle w:val="SOWSubL1-ASDEFCON"/>
      </w:pPr>
      <w:r>
        <w:t>Contractor Engineering Manageme</w:t>
      </w:r>
      <w:r w:rsidR="002F77FE">
        <w:t>nt Plan (CEMP)</w:t>
      </w:r>
      <w:r>
        <w:t>;</w:t>
      </w:r>
    </w:p>
    <w:p w14:paraId="335F689A" w14:textId="77777777" w:rsidR="002E1109" w:rsidRDefault="002E1109" w:rsidP="00E938CA">
      <w:pPr>
        <w:pStyle w:val="SOWSubL1-ASDEFCON"/>
      </w:pPr>
      <w:r>
        <w:lastRenderedPageBreak/>
        <w:t>Maintenance Management Plan (MMP);</w:t>
      </w:r>
    </w:p>
    <w:p w14:paraId="6E3C9F3A" w14:textId="77777777" w:rsidR="002E1109" w:rsidRDefault="002E1109" w:rsidP="00E938CA">
      <w:pPr>
        <w:pStyle w:val="SOWSubL1-ASDEFCON"/>
      </w:pPr>
      <w:r>
        <w:t>Supply Support Plan (SSP); and</w:t>
      </w:r>
    </w:p>
    <w:p w14:paraId="26B5789F" w14:textId="77777777" w:rsidR="002E1109" w:rsidRDefault="002E1109" w:rsidP="00E938CA">
      <w:pPr>
        <w:pStyle w:val="SOWSubL1-ASDEFCON"/>
      </w:pPr>
      <w:r>
        <w:t>Training Support Plan (TSP).</w:t>
      </w:r>
    </w:p>
    <w:p w14:paraId="1AE12BAE" w14:textId="77777777" w:rsidR="002E1109" w:rsidRDefault="00A3342B" w:rsidP="00E938CA">
      <w:pPr>
        <w:pStyle w:val="SOWTL2-ASDEFCON"/>
      </w:pPr>
      <w:r>
        <w:t xml:space="preserve">The following </w:t>
      </w:r>
      <w:r w:rsidR="002E1109">
        <w:t xml:space="preserve">Contract (Support) </w:t>
      </w:r>
      <w:r w:rsidR="00BA5971">
        <w:t xml:space="preserve">Attachments </w:t>
      </w:r>
      <w:r w:rsidR="002E1109">
        <w:t xml:space="preserve">and </w:t>
      </w:r>
      <w:r w:rsidR="00BA5971">
        <w:t>Annexes</w:t>
      </w:r>
      <w:r>
        <w:t>,</w:t>
      </w:r>
      <w:r w:rsidR="002E1109">
        <w:t xml:space="preserve"> </w:t>
      </w:r>
      <w:r w:rsidR="00BA5FF1">
        <w:t xml:space="preserve">which </w:t>
      </w:r>
      <w:r w:rsidR="007204F1">
        <w:t xml:space="preserve">may be </w:t>
      </w:r>
      <w:r>
        <w:t>in</w:t>
      </w:r>
      <w:r w:rsidR="002E1109">
        <w:t>complete at the Effective Date</w:t>
      </w:r>
      <w:r>
        <w:t xml:space="preserve">, </w:t>
      </w:r>
      <w:r w:rsidR="00BA5FF1">
        <w:t>are applicable to</w:t>
      </w:r>
      <w:r w:rsidR="002E1109">
        <w:t xml:space="preserve"> the TXRR</w:t>
      </w:r>
      <w:r w:rsidRPr="00A3342B">
        <w:t xml:space="preserve"> </w:t>
      </w:r>
      <w:r w:rsidR="008F3EC9">
        <w:t xml:space="preserve">if </w:t>
      </w:r>
      <w:r>
        <w:t xml:space="preserve">these documents are required by the Contract (Support) </w:t>
      </w:r>
      <w:r w:rsidRPr="00A3342B">
        <w:t>CDRL for delivery prior to the TXRR</w:t>
      </w:r>
      <w:r w:rsidR="002E1109">
        <w:t>:</w:t>
      </w:r>
    </w:p>
    <w:p w14:paraId="4B55635D" w14:textId="77777777" w:rsidR="002E1109" w:rsidRDefault="002E1109" w:rsidP="00E938CA">
      <w:pPr>
        <w:pStyle w:val="SOWSubL1-ASDEFCON"/>
      </w:pPr>
      <w:r>
        <w:t>Attachment E, ‘Government Furnished Materi</w:t>
      </w:r>
      <w:r w:rsidR="00546149">
        <w:t>a</w:t>
      </w:r>
      <w:r>
        <w:t>l’;</w:t>
      </w:r>
    </w:p>
    <w:p w14:paraId="25D1C69F" w14:textId="71BE4E9C" w:rsidR="00724ED3" w:rsidRDefault="002E1109" w:rsidP="00E938CA">
      <w:pPr>
        <w:pStyle w:val="SOWSubL1-ASDEFCON"/>
      </w:pPr>
      <w:r>
        <w:t xml:space="preserve">SOW Annex A, ‘List of Products </w:t>
      </w:r>
      <w:r w:rsidR="00724ED3">
        <w:t>Being</w:t>
      </w:r>
      <w:r>
        <w:t xml:space="preserve"> Supported’</w:t>
      </w:r>
      <w:r w:rsidR="00A95C6B">
        <w:t>;</w:t>
      </w:r>
    </w:p>
    <w:p w14:paraId="7BBD8173" w14:textId="77777777" w:rsidR="002E1109" w:rsidRDefault="00724ED3" w:rsidP="00E938CA">
      <w:pPr>
        <w:pStyle w:val="SOWSubL1-ASDEFCON"/>
      </w:pPr>
      <w:r>
        <w:t xml:space="preserve">SOW Annex D, </w:t>
      </w:r>
      <w:r w:rsidR="00836ED1">
        <w:t>‘</w:t>
      </w:r>
      <w:r>
        <w:t>List of Referenced Manuals</w:t>
      </w:r>
      <w:r w:rsidR="00836ED1">
        <w:t>’</w:t>
      </w:r>
      <w:r w:rsidR="00FD0C5C">
        <w:t>;</w:t>
      </w:r>
      <w:r w:rsidR="00FD0C5C" w:rsidRPr="00FD0C5C">
        <w:t xml:space="preserve"> </w:t>
      </w:r>
      <w:r w:rsidR="00FD0C5C">
        <w:t>and</w:t>
      </w:r>
    </w:p>
    <w:p w14:paraId="301C01C1" w14:textId="2CDA9DA0" w:rsidR="00FD0C5C" w:rsidRDefault="00FD0C5C" w:rsidP="00E938CA">
      <w:pPr>
        <w:pStyle w:val="SOWSubL1-ASDEFCON"/>
      </w:pPr>
      <w:r>
        <w:t xml:space="preserve">any other Attachment or Annex </w:t>
      </w:r>
      <w:r w:rsidR="00FF624F">
        <w:t xml:space="preserve">update </w:t>
      </w:r>
      <w:r w:rsidR="007D2B9B">
        <w:t>required to be</w:t>
      </w:r>
      <w:r>
        <w:t xml:space="preserve"> </w:t>
      </w:r>
      <w:r w:rsidR="007D2B9B">
        <w:t>delivered</w:t>
      </w:r>
      <w:r>
        <w:t xml:space="preserve"> prior to</w:t>
      </w:r>
      <w:r w:rsidR="008C42FD">
        <w:t xml:space="preserve"> </w:t>
      </w:r>
      <w:r>
        <w:t>the TXRR.</w:t>
      </w:r>
    </w:p>
    <w:p w14:paraId="3D7C0F06" w14:textId="77777777" w:rsidR="00BA5971" w:rsidRDefault="002E1109" w:rsidP="00E938CA">
      <w:pPr>
        <w:pStyle w:val="Note-ASDEFCON"/>
      </w:pPr>
      <w:r>
        <w:t>Note:</w:t>
      </w:r>
      <w:r w:rsidR="002E3F04">
        <w:t xml:space="preserve">  </w:t>
      </w:r>
      <w:r>
        <w:t>The Status column in the following tables indicate</w:t>
      </w:r>
      <w:r w:rsidR="00A538CB">
        <w:t>s</w:t>
      </w:r>
      <w:r>
        <w:t xml:space="preserve"> whe</w:t>
      </w:r>
      <w:r w:rsidR="00A538CB">
        <w:t>n</w:t>
      </w:r>
      <w:r>
        <w:t xml:space="preserve"> the associated </w:t>
      </w:r>
      <w:r w:rsidR="00AE2182">
        <w:t xml:space="preserve">checklist </w:t>
      </w:r>
      <w:r>
        <w:t xml:space="preserve">items </w:t>
      </w:r>
      <w:r w:rsidR="00A538CB">
        <w:t xml:space="preserve">can </w:t>
      </w:r>
      <w:r w:rsidR="00BA5971">
        <w:t xml:space="preserve">be tailored by the Contractor </w:t>
      </w:r>
      <w:r w:rsidR="00321735">
        <w:t xml:space="preserve">(Acquisition) </w:t>
      </w:r>
      <w:r w:rsidR="00BA5971">
        <w:t>in its SRP, based on the following definitions:</w:t>
      </w:r>
    </w:p>
    <w:p w14:paraId="5B591EB6" w14:textId="77777777" w:rsidR="00BA5971" w:rsidRDefault="00BA5971" w:rsidP="00E938CA">
      <w:pPr>
        <w:pStyle w:val="NoteList-ASDEFCON"/>
      </w:pPr>
      <w:r>
        <w:t>Mandatory items are not to be tailored;</w:t>
      </w:r>
    </w:p>
    <w:p w14:paraId="04FC1B8A" w14:textId="77777777" w:rsidR="00BA5971" w:rsidRDefault="00BA5971" w:rsidP="00E938CA">
      <w:pPr>
        <w:pStyle w:val="NoteList-ASDEFCON"/>
      </w:pPr>
      <w:r>
        <w:t xml:space="preserve">Highly Desirable items should not be tailored, but may be tailored depending upon the specifics of the Contract </w:t>
      </w:r>
      <w:bookmarkStart w:id="6" w:name="OLE_LINK1"/>
      <w:r w:rsidR="00321735">
        <w:t>(Acquisition)</w:t>
      </w:r>
      <w:bookmarkEnd w:id="6"/>
      <w:r w:rsidR="00DD3477">
        <w:t>, the Contract (Support)</w:t>
      </w:r>
      <w:r w:rsidR="00321735">
        <w:t xml:space="preserve"> </w:t>
      </w:r>
      <w:r>
        <w:t xml:space="preserve">and the </w:t>
      </w:r>
      <w:r w:rsidR="00DD3477">
        <w:t xml:space="preserve">internal processes of the </w:t>
      </w:r>
      <w:r>
        <w:t xml:space="preserve">Contractor </w:t>
      </w:r>
      <w:r w:rsidR="00321735">
        <w:t>(Acquisition)</w:t>
      </w:r>
      <w:r w:rsidR="00DD3477">
        <w:t xml:space="preserve"> and Contractor (Support)</w:t>
      </w:r>
      <w:r>
        <w:t>; and</w:t>
      </w:r>
    </w:p>
    <w:p w14:paraId="56B9346E" w14:textId="77777777" w:rsidR="00BA5971" w:rsidRDefault="00BA5971" w:rsidP="00E938CA">
      <w:pPr>
        <w:pStyle w:val="NoteList-ASDEFCON"/>
      </w:pPr>
      <w:r>
        <w:t xml:space="preserve">Optional items may be tailored, based upon the specifics of the Contract </w:t>
      </w:r>
      <w:r w:rsidR="00321735">
        <w:t>(Acquisition)</w:t>
      </w:r>
      <w:r w:rsidR="008C6636">
        <w:t>,</w:t>
      </w:r>
      <w:r w:rsidR="00526D03">
        <w:t xml:space="preserve"> </w:t>
      </w:r>
      <w:r w:rsidR="008C6636">
        <w:t>the</w:t>
      </w:r>
      <w:r w:rsidR="00526D03">
        <w:t xml:space="preserve"> Contract (Support)</w:t>
      </w:r>
      <w:r w:rsidR="00321735">
        <w:t xml:space="preserve"> </w:t>
      </w:r>
      <w:r>
        <w:t>and the internal processes</w:t>
      </w:r>
      <w:r w:rsidR="00CC4097">
        <w:t xml:space="preserve"> of the Contractor</w:t>
      </w:r>
      <w:r w:rsidR="008C6636">
        <w:t xml:space="preserve"> (Acquisition) and Contractor (Support)</w:t>
      </w:r>
      <w:r>
        <w:t>.</w:t>
      </w:r>
    </w:p>
    <w:p w14:paraId="1A1D3BC0" w14:textId="77777777" w:rsidR="00BA5971" w:rsidRDefault="00BA5971" w:rsidP="00E938CA">
      <w:pPr>
        <w:pStyle w:val="Note-ASDEFCON"/>
      </w:pPr>
      <w:r>
        <w:t xml:space="preserve">Notwithstanding the Status assigned to each </w:t>
      </w:r>
      <w:r w:rsidR="008C42FD">
        <w:t xml:space="preserve">checklist </w:t>
      </w:r>
      <w:r>
        <w:t>item, the items are to be included in the SRP if they are applicable.</w:t>
      </w:r>
    </w:p>
    <w:p w14:paraId="6E89FBC8" w14:textId="77777777" w:rsidR="002E1109" w:rsidRDefault="002E1109" w:rsidP="00E938CA">
      <w:pPr>
        <w:pStyle w:val="SOWHL1-ASDEFCON"/>
      </w:pPr>
      <w:r>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5"/>
      </w:tblGrid>
      <w:tr w:rsidR="002E1109" w14:paraId="1FDC3940" w14:textId="77777777">
        <w:trPr>
          <w:cantSplit/>
          <w:tblHeader/>
        </w:trPr>
        <w:tc>
          <w:tcPr>
            <w:tcW w:w="709" w:type="dxa"/>
            <w:shd w:val="pct10" w:color="auto" w:fill="FFFFFF"/>
          </w:tcPr>
          <w:p w14:paraId="3E8D08FD" w14:textId="77777777" w:rsidR="002E1109" w:rsidRDefault="002E1109" w:rsidP="00E938CA">
            <w:pPr>
              <w:pStyle w:val="Table10ptHeading-ASDEFCON"/>
            </w:pPr>
            <w:r>
              <w:t>Item</w:t>
            </w:r>
          </w:p>
        </w:tc>
        <w:tc>
          <w:tcPr>
            <w:tcW w:w="6237" w:type="dxa"/>
            <w:shd w:val="pct10" w:color="auto" w:fill="FFFFFF"/>
          </w:tcPr>
          <w:p w14:paraId="439EA9F3" w14:textId="77777777" w:rsidR="002E1109" w:rsidRDefault="002E1109" w:rsidP="00E938CA">
            <w:pPr>
              <w:pStyle w:val="Table10ptHeading-ASDEFCON"/>
            </w:pPr>
            <w:r>
              <w:t>Entry Criteria</w:t>
            </w:r>
          </w:p>
        </w:tc>
        <w:tc>
          <w:tcPr>
            <w:tcW w:w="1275" w:type="dxa"/>
            <w:shd w:val="pct10" w:color="auto" w:fill="FFFFFF"/>
          </w:tcPr>
          <w:p w14:paraId="38EAB987" w14:textId="77777777" w:rsidR="002E1109" w:rsidRDefault="002E1109" w:rsidP="00E938CA">
            <w:pPr>
              <w:pStyle w:val="Table10ptHeading-ASDEFCON"/>
            </w:pPr>
            <w:r>
              <w:t>Status</w:t>
            </w:r>
          </w:p>
        </w:tc>
      </w:tr>
      <w:tr w:rsidR="002E1109" w14:paraId="62ABCA49" w14:textId="77777777">
        <w:trPr>
          <w:cantSplit/>
        </w:trPr>
        <w:tc>
          <w:tcPr>
            <w:tcW w:w="709" w:type="dxa"/>
          </w:tcPr>
          <w:p w14:paraId="5E8D117B" w14:textId="77777777" w:rsidR="002E1109" w:rsidRDefault="002E1109" w:rsidP="0057280B">
            <w:pPr>
              <w:pStyle w:val="ATTANNLV1-ASDEFCON"/>
            </w:pPr>
          </w:p>
        </w:tc>
        <w:tc>
          <w:tcPr>
            <w:tcW w:w="6237" w:type="dxa"/>
          </w:tcPr>
          <w:p w14:paraId="64E49597" w14:textId="77777777" w:rsidR="002E1109" w:rsidRDefault="002E1109" w:rsidP="00E938CA">
            <w:pPr>
              <w:pStyle w:val="Table10ptText-ASDEFCON"/>
            </w:pPr>
            <w:r>
              <w:t xml:space="preserve">All Contract (Acquisition) </w:t>
            </w:r>
            <w:r w:rsidR="000E2C3D">
              <w:t xml:space="preserve">data </w:t>
            </w:r>
            <w:r>
              <w:t xml:space="preserve">items required </w:t>
            </w:r>
            <w:r w:rsidR="000E2C3D">
              <w:t xml:space="preserve">by the CDRL </w:t>
            </w:r>
            <w:r>
              <w:t>to be delivered before</w:t>
            </w:r>
            <w:r w:rsidR="00C335CF">
              <w:t>, and linked to,</w:t>
            </w:r>
            <w:r>
              <w:t xml:space="preserve"> </w:t>
            </w:r>
            <w:r w:rsidR="00E41770">
              <w:t xml:space="preserve">the </w:t>
            </w:r>
            <w:r>
              <w:t>TXRR have been delivered and the Commonwealth Representative considers the</w:t>
            </w:r>
            <w:r w:rsidR="000E2C3D">
              <w:t>m to be</w:t>
            </w:r>
            <w:r w:rsidR="001570A7">
              <w:t xml:space="preserve"> </w:t>
            </w:r>
            <w:r w:rsidR="00C335CF">
              <w:t xml:space="preserve">suitable </w:t>
            </w:r>
            <w:r>
              <w:t xml:space="preserve">for the purposes of conducting </w:t>
            </w:r>
            <w:r w:rsidR="00E41770">
              <w:t xml:space="preserve">the </w:t>
            </w:r>
            <w:r>
              <w:t>TXRR.</w:t>
            </w:r>
          </w:p>
        </w:tc>
        <w:tc>
          <w:tcPr>
            <w:tcW w:w="1275" w:type="dxa"/>
          </w:tcPr>
          <w:p w14:paraId="304BB000" w14:textId="77777777" w:rsidR="002E1109" w:rsidRDefault="00BA5971" w:rsidP="00E938CA">
            <w:pPr>
              <w:pStyle w:val="Table10ptText-ASDEFCON"/>
            </w:pPr>
            <w:r>
              <w:t>Mandatory</w:t>
            </w:r>
          </w:p>
        </w:tc>
      </w:tr>
      <w:tr w:rsidR="002E1109" w14:paraId="42F18450" w14:textId="77777777">
        <w:trPr>
          <w:cantSplit/>
        </w:trPr>
        <w:tc>
          <w:tcPr>
            <w:tcW w:w="709" w:type="dxa"/>
          </w:tcPr>
          <w:p w14:paraId="737C4E00" w14:textId="77777777" w:rsidR="002E1109" w:rsidRDefault="002E1109" w:rsidP="0057280B">
            <w:pPr>
              <w:pStyle w:val="ATTANNLV1-ASDEFCON"/>
            </w:pPr>
          </w:p>
        </w:tc>
        <w:tc>
          <w:tcPr>
            <w:tcW w:w="6237" w:type="dxa"/>
          </w:tcPr>
          <w:p w14:paraId="02C93D08" w14:textId="77777777" w:rsidR="002E1109" w:rsidRDefault="002E1109" w:rsidP="00E938CA">
            <w:pPr>
              <w:pStyle w:val="Table10ptText-ASDEFCON"/>
            </w:pPr>
            <w:r>
              <w:t xml:space="preserve">All </w:t>
            </w:r>
            <w:r w:rsidR="00855841">
              <w:t>Contract</w:t>
            </w:r>
            <w:r>
              <w:t xml:space="preserve"> (Support) </w:t>
            </w:r>
            <w:r w:rsidR="000E2C3D">
              <w:t xml:space="preserve">data </w:t>
            </w:r>
            <w:r>
              <w:t>items</w:t>
            </w:r>
            <w:r w:rsidR="00BA5971">
              <w:t xml:space="preserve"> </w:t>
            </w:r>
            <w:r>
              <w:t xml:space="preserve">required </w:t>
            </w:r>
            <w:r w:rsidR="000E2C3D">
              <w:t xml:space="preserve">by the CDRL </w:t>
            </w:r>
            <w:r>
              <w:t>to be delivered before</w:t>
            </w:r>
            <w:r w:rsidR="00C335CF">
              <w:t>, and linked to,</w:t>
            </w:r>
            <w:r>
              <w:t xml:space="preserve"> </w:t>
            </w:r>
            <w:r w:rsidR="00E41770">
              <w:t xml:space="preserve">the </w:t>
            </w:r>
            <w:r>
              <w:t>TXRR have been delivered and the Commonwealth Representative considers the</w:t>
            </w:r>
            <w:r w:rsidR="000E2C3D">
              <w:t>m</w:t>
            </w:r>
            <w:r>
              <w:t xml:space="preserve"> to be </w:t>
            </w:r>
            <w:r w:rsidR="00C335CF">
              <w:t xml:space="preserve">suitable </w:t>
            </w:r>
            <w:r>
              <w:t xml:space="preserve">for the purposes of conducting </w:t>
            </w:r>
            <w:r w:rsidR="00E41770">
              <w:t xml:space="preserve">the </w:t>
            </w:r>
            <w:r>
              <w:t>TXRR.</w:t>
            </w:r>
          </w:p>
        </w:tc>
        <w:tc>
          <w:tcPr>
            <w:tcW w:w="1275" w:type="dxa"/>
          </w:tcPr>
          <w:p w14:paraId="7D370616" w14:textId="77777777" w:rsidR="002E1109" w:rsidRDefault="00BA5971" w:rsidP="00E938CA">
            <w:pPr>
              <w:pStyle w:val="Table10ptText-ASDEFCON"/>
            </w:pPr>
            <w:r>
              <w:t>Mandatory</w:t>
            </w:r>
          </w:p>
        </w:tc>
      </w:tr>
      <w:tr w:rsidR="002E1109" w14:paraId="758540DB" w14:textId="77777777">
        <w:trPr>
          <w:cantSplit/>
        </w:trPr>
        <w:tc>
          <w:tcPr>
            <w:tcW w:w="709" w:type="dxa"/>
          </w:tcPr>
          <w:p w14:paraId="466DC774" w14:textId="77777777" w:rsidR="002E1109" w:rsidRDefault="002E1109" w:rsidP="0057280B">
            <w:pPr>
              <w:pStyle w:val="ATTANNLV1-ASDEFCON"/>
            </w:pPr>
          </w:p>
        </w:tc>
        <w:tc>
          <w:tcPr>
            <w:tcW w:w="6237" w:type="dxa"/>
          </w:tcPr>
          <w:p w14:paraId="7C899789" w14:textId="59DDCCC7" w:rsidR="002E1109" w:rsidRDefault="002E1109" w:rsidP="00E938CA">
            <w:pPr>
              <w:pStyle w:val="Table10ptText-ASDEFCON"/>
            </w:pPr>
            <w:r>
              <w:t xml:space="preserve">Action items from any previous </w:t>
            </w:r>
            <w:r w:rsidR="00B6505C">
              <w:t>System R</w:t>
            </w:r>
            <w:r>
              <w:t xml:space="preserve">eviews affecting </w:t>
            </w:r>
            <w:r w:rsidR="00E41770">
              <w:t xml:space="preserve">the </w:t>
            </w:r>
            <w:r>
              <w:t xml:space="preserve">TXRR have been successfully addressed or action plans </w:t>
            </w:r>
            <w:r w:rsidR="001570A7">
              <w:t xml:space="preserve">have been </w:t>
            </w:r>
            <w:r>
              <w:t>agreed with the Commonwealth Representative.</w:t>
            </w:r>
          </w:p>
        </w:tc>
        <w:tc>
          <w:tcPr>
            <w:tcW w:w="1275" w:type="dxa"/>
          </w:tcPr>
          <w:p w14:paraId="45876046" w14:textId="77777777" w:rsidR="002E1109" w:rsidRDefault="00BA5971" w:rsidP="00E938CA">
            <w:pPr>
              <w:pStyle w:val="Table10ptText-ASDEFCON"/>
            </w:pPr>
            <w:r>
              <w:t>Mandatory</w:t>
            </w:r>
          </w:p>
        </w:tc>
      </w:tr>
    </w:tbl>
    <w:p w14:paraId="14161330" w14:textId="77777777" w:rsidR="002E1109" w:rsidRDefault="002E1109" w:rsidP="00E938CA">
      <w:pPr>
        <w:pStyle w:val="Table10ptText-ASDEFCON"/>
      </w:pPr>
    </w:p>
    <w:p w14:paraId="2DEAD535" w14:textId="77777777" w:rsidR="002E1109" w:rsidRDefault="002E1109" w:rsidP="00E938CA">
      <w:pPr>
        <w:pStyle w:val="SOWHL1-ASDEFCON"/>
      </w:pPr>
      <w:r>
        <w:t>Review 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5"/>
      </w:tblGrid>
      <w:tr w:rsidR="002E1109" w14:paraId="2D38407E" w14:textId="77777777" w:rsidTr="00025819">
        <w:trPr>
          <w:tblHeader/>
        </w:trPr>
        <w:tc>
          <w:tcPr>
            <w:tcW w:w="709" w:type="dxa"/>
            <w:shd w:val="pct10" w:color="auto" w:fill="FFFFFF"/>
          </w:tcPr>
          <w:p w14:paraId="250211A5" w14:textId="77777777" w:rsidR="002E1109" w:rsidRDefault="002E1109" w:rsidP="00E938CA">
            <w:pPr>
              <w:pStyle w:val="Table10ptHeading-ASDEFCON"/>
            </w:pPr>
            <w:r>
              <w:t>Item</w:t>
            </w:r>
          </w:p>
        </w:tc>
        <w:tc>
          <w:tcPr>
            <w:tcW w:w="6237" w:type="dxa"/>
            <w:shd w:val="pct10" w:color="auto" w:fill="FFFFFF"/>
          </w:tcPr>
          <w:p w14:paraId="5B6BB40B" w14:textId="77777777" w:rsidR="002E1109" w:rsidRDefault="002E1109" w:rsidP="00E938CA">
            <w:pPr>
              <w:pStyle w:val="Table10ptHeading-ASDEFCON"/>
            </w:pPr>
            <w:r>
              <w:t>Checklist Item</w:t>
            </w:r>
          </w:p>
        </w:tc>
        <w:tc>
          <w:tcPr>
            <w:tcW w:w="1275" w:type="dxa"/>
            <w:shd w:val="pct10" w:color="auto" w:fill="FFFFFF"/>
          </w:tcPr>
          <w:p w14:paraId="4DE6E050" w14:textId="77777777" w:rsidR="002E1109" w:rsidRDefault="002E1109" w:rsidP="00E938CA">
            <w:pPr>
              <w:pStyle w:val="Table10ptHeading-ASDEFCON"/>
            </w:pPr>
            <w:r>
              <w:t>Status</w:t>
            </w:r>
          </w:p>
        </w:tc>
      </w:tr>
      <w:tr w:rsidR="002E1109" w14:paraId="721BC184" w14:textId="77777777" w:rsidTr="00025819">
        <w:tc>
          <w:tcPr>
            <w:tcW w:w="709" w:type="dxa"/>
          </w:tcPr>
          <w:p w14:paraId="620EFD09" w14:textId="77777777" w:rsidR="008A358D" w:rsidRDefault="008A358D" w:rsidP="00D2284F">
            <w:pPr>
              <w:pStyle w:val="ATTANNLV1-ASDEFCON"/>
              <w:keepNext w:val="0"/>
              <w:numPr>
                <w:ilvl w:val="0"/>
                <w:numId w:val="27"/>
              </w:numPr>
            </w:pPr>
          </w:p>
        </w:tc>
        <w:tc>
          <w:tcPr>
            <w:tcW w:w="6237" w:type="dxa"/>
          </w:tcPr>
          <w:p w14:paraId="740E253F" w14:textId="77777777" w:rsidR="002E1109" w:rsidRDefault="002E1109" w:rsidP="00E938CA">
            <w:pPr>
              <w:pStyle w:val="Table10ptText-ASDEFCON"/>
            </w:pPr>
            <w:r>
              <w:t xml:space="preserve">Were all entry criteria satisfied before starting </w:t>
            </w:r>
            <w:r w:rsidR="00E41770">
              <w:t xml:space="preserve">the </w:t>
            </w:r>
            <w:r>
              <w:t>TXRR?</w:t>
            </w:r>
          </w:p>
        </w:tc>
        <w:tc>
          <w:tcPr>
            <w:tcW w:w="1275" w:type="dxa"/>
          </w:tcPr>
          <w:p w14:paraId="5DB7E011" w14:textId="77777777" w:rsidR="002E1109" w:rsidRDefault="001B4041" w:rsidP="00E938CA">
            <w:pPr>
              <w:pStyle w:val="Table10ptText-ASDEFCON"/>
            </w:pPr>
            <w:r>
              <w:t>Mandatory</w:t>
            </w:r>
          </w:p>
        </w:tc>
      </w:tr>
      <w:tr w:rsidR="002E1109" w14:paraId="6706ED9A" w14:textId="77777777" w:rsidTr="00025819">
        <w:tc>
          <w:tcPr>
            <w:tcW w:w="709" w:type="dxa"/>
          </w:tcPr>
          <w:p w14:paraId="2DDBE0E3" w14:textId="77777777" w:rsidR="002E1109" w:rsidRDefault="002E1109" w:rsidP="0037122C">
            <w:pPr>
              <w:pStyle w:val="ATTANNLV1-ASDEFCON"/>
              <w:keepNext w:val="0"/>
            </w:pPr>
          </w:p>
        </w:tc>
        <w:tc>
          <w:tcPr>
            <w:tcW w:w="6237" w:type="dxa"/>
          </w:tcPr>
          <w:p w14:paraId="674F28B9" w14:textId="77777777" w:rsidR="002E1109" w:rsidRDefault="002E1109" w:rsidP="00E938CA">
            <w:pPr>
              <w:pStyle w:val="Table10ptText-ASDEFCON"/>
            </w:pPr>
            <w:r>
              <w:t xml:space="preserve">Has the impact of </w:t>
            </w:r>
            <w:r w:rsidR="001B4041">
              <w:t xml:space="preserve">Approved </w:t>
            </w:r>
            <w:r w:rsidR="00CA4173">
              <w:t xml:space="preserve">and pending </w:t>
            </w:r>
            <w:r w:rsidR="001B4041">
              <w:t xml:space="preserve">CCPs </w:t>
            </w:r>
            <w:r w:rsidR="001C7E66">
              <w:t xml:space="preserve">for the Contract (Acquisition) and/or Contract (Support) </w:t>
            </w:r>
            <w:r>
              <w:t>been assessed?</w:t>
            </w:r>
          </w:p>
        </w:tc>
        <w:tc>
          <w:tcPr>
            <w:tcW w:w="1275" w:type="dxa"/>
          </w:tcPr>
          <w:p w14:paraId="62DA2D40" w14:textId="77777777" w:rsidR="002E1109" w:rsidRDefault="001B4041" w:rsidP="00E938CA">
            <w:pPr>
              <w:pStyle w:val="Table10ptText-ASDEFCON"/>
            </w:pPr>
            <w:r>
              <w:t>Highly Desirable</w:t>
            </w:r>
          </w:p>
        </w:tc>
      </w:tr>
      <w:tr w:rsidR="002E1109" w14:paraId="345D5161" w14:textId="77777777" w:rsidTr="00025819">
        <w:tc>
          <w:tcPr>
            <w:tcW w:w="709" w:type="dxa"/>
          </w:tcPr>
          <w:p w14:paraId="0FD628BB" w14:textId="77777777" w:rsidR="002E1109" w:rsidRDefault="002E1109" w:rsidP="0037122C">
            <w:pPr>
              <w:pStyle w:val="ATTANNLV1-ASDEFCON"/>
              <w:keepNext w:val="0"/>
            </w:pPr>
          </w:p>
        </w:tc>
        <w:tc>
          <w:tcPr>
            <w:tcW w:w="6237" w:type="dxa"/>
          </w:tcPr>
          <w:p w14:paraId="25E5441C" w14:textId="77777777" w:rsidR="002E1109" w:rsidRDefault="002E1109" w:rsidP="00E938CA">
            <w:pPr>
              <w:pStyle w:val="Table10ptText-ASDEFCON"/>
            </w:pPr>
            <w:r>
              <w:t xml:space="preserve">Have all Commonwealth Representative review comments against </w:t>
            </w:r>
            <w:r w:rsidR="00F751E7">
              <w:t xml:space="preserve">the relevant </w:t>
            </w:r>
            <w:r w:rsidR="001B4041">
              <w:t xml:space="preserve">Contract (Acquisition) </w:t>
            </w:r>
            <w:r w:rsidR="001570A7">
              <w:t xml:space="preserve">data </w:t>
            </w:r>
            <w:r>
              <w:t>items been adequately addressed?</w:t>
            </w:r>
          </w:p>
        </w:tc>
        <w:tc>
          <w:tcPr>
            <w:tcW w:w="1275" w:type="dxa"/>
          </w:tcPr>
          <w:p w14:paraId="6772A629" w14:textId="77777777" w:rsidR="002E1109" w:rsidRDefault="001B4041" w:rsidP="00E938CA">
            <w:pPr>
              <w:pStyle w:val="Table10ptText-ASDEFCON"/>
            </w:pPr>
            <w:r>
              <w:t>Mandatory</w:t>
            </w:r>
          </w:p>
        </w:tc>
      </w:tr>
      <w:tr w:rsidR="001B4041" w14:paraId="1AD6A102" w14:textId="77777777" w:rsidTr="00025819">
        <w:tc>
          <w:tcPr>
            <w:tcW w:w="709" w:type="dxa"/>
          </w:tcPr>
          <w:p w14:paraId="7B07D1F2" w14:textId="77777777" w:rsidR="001B4041" w:rsidRDefault="001B4041" w:rsidP="0037122C">
            <w:pPr>
              <w:pStyle w:val="ATTANNLV1-ASDEFCON"/>
              <w:keepNext w:val="0"/>
            </w:pPr>
          </w:p>
        </w:tc>
        <w:tc>
          <w:tcPr>
            <w:tcW w:w="6237" w:type="dxa"/>
          </w:tcPr>
          <w:p w14:paraId="760E3DB4" w14:textId="77777777" w:rsidR="001B4041" w:rsidRDefault="001B4041" w:rsidP="00E938CA">
            <w:pPr>
              <w:pStyle w:val="Table10ptText-ASDEFCON"/>
            </w:pPr>
            <w:r>
              <w:t xml:space="preserve">Have all Commonwealth Representative review comments against </w:t>
            </w:r>
            <w:r w:rsidR="00F751E7">
              <w:t xml:space="preserve">the relevant </w:t>
            </w:r>
            <w:r>
              <w:t xml:space="preserve">Contract (Support) </w:t>
            </w:r>
            <w:r w:rsidR="001570A7">
              <w:t xml:space="preserve">data </w:t>
            </w:r>
            <w:r>
              <w:t>items been adequately addressed?</w:t>
            </w:r>
          </w:p>
        </w:tc>
        <w:tc>
          <w:tcPr>
            <w:tcW w:w="1275" w:type="dxa"/>
          </w:tcPr>
          <w:p w14:paraId="1B6207EC" w14:textId="77777777" w:rsidR="001B4041" w:rsidRDefault="001B4041" w:rsidP="00E938CA">
            <w:pPr>
              <w:pStyle w:val="Table10ptText-ASDEFCON"/>
            </w:pPr>
            <w:r>
              <w:t>Highly Desirable</w:t>
            </w:r>
          </w:p>
        </w:tc>
      </w:tr>
      <w:tr w:rsidR="002E1109" w14:paraId="3C596866" w14:textId="77777777" w:rsidTr="00025819">
        <w:tc>
          <w:tcPr>
            <w:tcW w:w="709" w:type="dxa"/>
          </w:tcPr>
          <w:p w14:paraId="36EB8D03" w14:textId="77777777" w:rsidR="008A358D" w:rsidRDefault="008A358D" w:rsidP="0037122C">
            <w:pPr>
              <w:pStyle w:val="ATTANNLV1-ASDEFCON"/>
              <w:keepNext w:val="0"/>
            </w:pPr>
          </w:p>
        </w:tc>
        <w:tc>
          <w:tcPr>
            <w:tcW w:w="6237" w:type="dxa"/>
          </w:tcPr>
          <w:p w14:paraId="058D8A47" w14:textId="77777777" w:rsidR="002E1109" w:rsidRDefault="002E1109" w:rsidP="00E938CA">
            <w:pPr>
              <w:pStyle w:val="Table10ptText-ASDEFCON"/>
            </w:pPr>
            <w:r>
              <w:t xml:space="preserve">Have the required </w:t>
            </w:r>
            <w:r w:rsidR="001B4041">
              <w:t>Supplies</w:t>
            </w:r>
            <w:r w:rsidR="00F751E7">
              <w:t xml:space="preserve"> (</w:t>
            </w:r>
            <w:r w:rsidR="00F3347B">
              <w:t>including</w:t>
            </w:r>
            <w:r>
              <w:t xml:space="preserve"> </w:t>
            </w:r>
            <w:r w:rsidR="001B4041">
              <w:t>Technical D</w:t>
            </w:r>
            <w:r w:rsidR="00F3347B">
              <w:t xml:space="preserve">ata and </w:t>
            </w:r>
            <w:r w:rsidR="008B1BA3">
              <w:t xml:space="preserve">associated </w:t>
            </w:r>
            <w:r>
              <w:t>Intellectual Property</w:t>
            </w:r>
            <w:r w:rsidR="001B4041">
              <w:t xml:space="preserve"> (IP)</w:t>
            </w:r>
            <w:r w:rsidR="00F3347B">
              <w:t xml:space="preserve"> rights</w:t>
            </w:r>
            <w:r w:rsidR="00F729E5">
              <w:t>)</w:t>
            </w:r>
            <w:r w:rsidR="00F3347B">
              <w:t xml:space="preserve">, </w:t>
            </w:r>
            <w:r>
              <w:t xml:space="preserve">to be transferred </w:t>
            </w:r>
            <w:r w:rsidR="00B038A6">
              <w:t xml:space="preserve">from the Contractor (Acquisition) </w:t>
            </w:r>
            <w:r>
              <w:t xml:space="preserve">to </w:t>
            </w:r>
            <w:r w:rsidR="00BA5FF1">
              <w:t xml:space="preserve">the </w:t>
            </w:r>
            <w:r>
              <w:t xml:space="preserve">Commonwealth and </w:t>
            </w:r>
            <w:r w:rsidR="00CD388F">
              <w:t xml:space="preserve">from the Contractor (Acquisition) </w:t>
            </w:r>
            <w:r w:rsidR="001570A7">
              <w:t xml:space="preserve">to </w:t>
            </w:r>
            <w:r w:rsidR="008B1BA3">
              <w:t xml:space="preserve">the </w:t>
            </w:r>
            <w:r w:rsidR="001B4041">
              <w:t>Contractor (Support)</w:t>
            </w:r>
            <w:r>
              <w:t xml:space="preserve">, been </w:t>
            </w:r>
            <w:r w:rsidR="004B5B3B">
              <w:t xml:space="preserve">adequately </w:t>
            </w:r>
            <w:r>
              <w:t>identified?</w:t>
            </w:r>
          </w:p>
        </w:tc>
        <w:tc>
          <w:tcPr>
            <w:tcW w:w="1275" w:type="dxa"/>
          </w:tcPr>
          <w:p w14:paraId="21FE85A2" w14:textId="77777777" w:rsidR="002E1109" w:rsidRDefault="001B4041" w:rsidP="00E938CA">
            <w:pPr>
              <w:pStyle w:val="Table10ptText-ASDEFCON"/>
            </w:pPr>
            <w:r>
              <w:t>Mandatory</w:t>
            </w:r>
          </w:p>
        </w:tc>
      </w:tr>
      <w:tr w:rsidR="00B038A6" w14:paraId="52D00572" w14:textId="77777777" w:rsidTr="00025819">
        <w:tc>
          <w:tcPr>
            <w:tcW w:w="709" w:type="dxa"/>
          </w:tcPr>
          <w:p w14:paraId="4D06F502" w14:textId="77777777" w:rsidR="008A358D" w:rsidRDefault="008A358D" w:rsidP="0037122C">
            <w:pPr>
              <w:pStyle w:val="ATTANNLV1-ASDEFCON"/>
              <w:keepNext w:val="0"/>
            </w:pPr>
          </w:p>
        </w:tc>
        <w:tc>
          <w:tcPr>
            <w:tcW w:w="6237" w:type="dxa"/>
          </w:tcPr>
          <w:p w14:paraId="1EF23368" w14:textId="77777777" w:rsidR="00B038A6" w:rsidRPr="00B038A6" w:rsidRDefault="00B038A6" w:rsidP="00E938CA">
            <w:pPr>
              <w:pStyle w:val="Table10ptText-ASDEFCON"/>
            </w:pPr>
            <w:r w:rsidRPr="00B038A6">
              <w:t xml:space="preserve">Have the required </w:t>
            </w:r>
            <w:r w:rsidR="006122A4">
              <w:t>P</w:t>
            </w:r>
            <w:r w:rsidR="00526D03">
              <w:t>roducts</w:t>
            </w:r>
            <w:r w:rsidRPr="00B038A6">
              <w:t xml:space="preserve"> </w:t>
            </w:r>
            <w:r w:rsidR="00F729E5">
              <w:t>(</w:t>
            </w:r>
            <w:r w:rsidRPr="00B038A6">
              <w:t xml:space="preserve">including </w:t>
            </w:r>
            <w:r w:rsidR="00F30B7C">
              <w:t xml:space="preserve">Supplies, </w:t>
            </w:r>
            <w:r w:rsidRPr="00B038A6">
              <w:t xml:space="preserve">Technical Data and </w:t>
            </w:r>
            <w:r w:rsidR="008B1BA3">
              <w:t xml:space="preserve">associated </w:t>
            </w:r>
            <w:r w:rsidRPr="00B038A6">
              <w:t>IP rights</w:t>
            </w:r>
            <w:r w:rsidR="00F729E5">
              <w:t>)</w:t>
            </w:r>
            <w:r w:rsidRPr="00B038A6">
              <w:t>, to be transferred from the Commonwealth to the Contractor (Support)</w:t>
            </w:r>
            <w:r w:rsidR="00CD388F">
              <w:t xml:space="preserve"> in order to establish support Services</w:t>
            </w:r>
            <w:r w:rsidRPr="00B038A6">
              <w:t xml:space="preserve">, been </w:t>
            </w:r>
            <w:r w:rsidR="004B5B3B">
              <w:t xml:space="preserve">adequately </w:t>
            </w:r>
            <w:r w:rsidRPr="00B038A6">
              <w:t>identified?</w:t>
            </w:r>
          </w:p>
        </w:tc>
        <w:tc>
          <w:tcPr>
            <w:tcW w:w="1275" w:type="dxa"/>
          </w:tcPr>
          <w:p w14:paraId="4CAAE2EA" w14:textId="77777777" w:rsidR="00B038A6" w:rsidRDefault="001672EE" w:rsidP="00E938CA">
            <w:pPr>
              <w:pStyle w:val="Table10ptText-ASDEFCON"/>
            </w:pPr>
            <w:r>
              <w:t>Highly Desirable</w:t>
            </w:r>
          </w:p>
        </w:tc>
      </w:tr>
      <w:tr w:rsidR="00B038A6" w14:paraId="732FE526" w14:textId="77777777" w:rsidTr="00025819">
        <w:tc>
          <w:tcPr>
            <w:tcW w:w="709" w:type="dxa"/>
          </w:tcPr>
          <w:p w14:paraId="116DC979" w14:textId="77777777" w:rsidR="00B038A6" w:rsidRDefault="00B038A6" w:rsidP="0037122C">
            <w:pPr>
              <w:pStyle w:val="ATTANNLV1-ASDEFCON"/>
              <w:keepNext w:val="0"/>
            </w:pPr>
          </w:p>
        </w:tc>
        <w:tc>
          <w:tcPr>
            <w:tcW w:w="6237" w:type="dxa"/>
          </w:tcPr>
          <w:p w14:paraId="3BD6DF61" w14:textId="6F314F05" w:rsidR="00971726" w:rsidRDefault="00B038A6" w:rsidP="00E938CA">
            <w:pPr>
              <w:pStyle w:val="Table10ptText-ASDEFCON"/>
            </w:pPr>
            <w:r w:rsidRPr="00FB39CA">
              <w:t xml:space="preserve">Have requirements for the transfer of skills </w:t>
            </w:r>
            <w:r w:rsidR="000A3AE1">
              <w:t xml:space="preserve">(including in relation to both knowhow and know-why) </w:t>
            </w:r>
            <w:r w:rsidRPr="00FB39CA">
              <w:t xml:space="preserve">from the Contractor (Acquisition) </w:t>
            </w:r>
            <w:r w:rsidR="00526D03">
              <w:t>and Subcontractors (Acquisition)</w:t>
            </w:r>
            <w:r w:rsidR="00971726">
              <w:t>,</w:t>
            </w:r>
            <w:r w:rsidR="00526D03">
              <w:t xml:space="preserve"> </w:t>
            </w:r>
            <w:r w:rsidRPr="00FB39CA">
              <w:t>to the Contractor (Support)</w:t>
            </w:r>
            <w:r>
              <w:t xml:space="preserve"> and Subcontractors (Support)</w:t>
            </w:r>
            <w:r w:rsidRPr="00FB39CA">
              <w:t>, been identified?</w:t>
            </w:r>
          </w:p>
          <w:p w14:paraId="3D445D76" w14:textId="77777777" w:rsidR="00B038A6" w:rsidRPr="000F5937" w:rsidRDefault="00B038A6" w:rsidP="00E938CA">
            <w:pPr>
              <w:pStyle w:val="Table10ptText-ASDEFCON"/>
              <w:rPr>
                <w:b/>
                <w:i/>
              </w:rPr>
            </w:pPr>
            <w:r>
              <w:t xml:space="preserve">Have associated </w:t>
            </w:r>
            <w:r w:rsidR="00BA5FF1">
              <w:t>T</w:t>
            </w:r>
            <w:r w:rsidRPr="00FB39CA">
              <w:t>raining</w:t>
            </w:r>
            <w:r>
              <w:t xml:space="preserve"> activities been identified</w:t>
            </w:r>
            <w:r w:rsidR="00802D1A">
              <w:t xml:space="preserve"> and planned</w:t>
            </w:r>
            <w:r>
              <w:t>?</w:t>
            </w:r>
          </w:p>
        </w:tc>
        <w:tc>
          <w:tcPr>
            <w:tcW w:w="1275" w:type="dxa"/>
          </w:tcPr>
          <w:p w14:paraId="02C24DD0" w14:textId="77777777" w:rsidR="00B038A6" w:rsidRDefault="00B038A6" w:rsidP="00E938CA">
            <w:pPr>
              <w:pStyle w:val="Table10ptText-ASDEFCON"/>
            </w:pPr>
            <w:r>
              <w:t>Highly Desirable</w:t>
            </w:r>
          </w:p>
        </w:tc>
      </w:tr>
      <w:tr w:rsidR="00B038A6" w14:paraId="5402520A" w14:textId="77777777" w:rsidTr="00025819">
        <w:tc>
          <w:tcPr>
            <w:tcW w:w="709" w:type="dxa"/>
          </w:tcPr>
          <w:p w14:paraId="0F76D2AE" w14:textId="77777777" w:rsidR="00B038A6" w:rsidRDefault="00B038A6" w:rsidP="0037122C">
            <w:pPr>
              <w:pStyle w:val="ATTANNLV1-ASDEFCON"/>
              <w:keepNext w:val="0"/>
            </w:pPr>
          </w:p>
        </w:tc>
        <w:tc>
          <w:tcPr>
            <w:tcW w:w="6237" w:type="dxa"/>
          </w:tcPr>
          <w:p w14:paraId="5C7D0898" w14:textId="77777777" w:rsidR="00832005" w:rsidRDefault="007F7105" w:rsidP="00E938CA">
            <w:pPr>
              <w:pStyle w:val="Table10ptSub1-ASDEFCON"/>
            </w:pPr>
            <w:r>
              <w:t xml:space="preserve">In respect of </w:t>
            </w:r>
            <w:r w:rsidR="00483FF2">
              <w:t xml:space="preserve">proposed </w:t>
            </w:r>
            <w:r w:rsidR="00A43236">
              <w:t>update</w:t>
            </w:r>
            <w:r w:rsidR="00335E35">
              <w:t>s</w:t>
            </w:r>
            <w:r w:rsidR="00A43236">
              <w:t xml:space="preserve"> to </w:t>
            </w:r>
            <w:r w:rsidR="00B038A6">
              <w:t>Contract (Support) SOW Annex A</w:t>
            </w:r>
            <w:r w:rsidR="00A43236">
              <w:t xml:space="preserve"> (</w:t>
            </w:r>
            <w:r w:rsidR="007D2B9B">
              <w:t>‘</w:t>
            </w:r>
            <w:r w:rsidR="00A43236">
              <w:t>Annex A</w:t>
            </w:r>
            <w:r w:rsidR="007D2B9B">
              <w:t>’</w:t>
            </w:r>
            <w:r w:rsidR="00A43236">
              <w:t>)</w:t>
            </w:r>
            <w:r w:rsidR="00E94802">
              <w:t xml:space="preserve"> and Annex D (‘Annex D’)</w:t>
            </w:r>
            <w:r w:rsidR="00A43236">
              <w:t xml:space="preserve"> </w:t>
            </w:r>
            <w:r w:rsidR="001672EE">
              <w:t>delivered</w:t>
            </w:r>
            <w:r w:rsidR="00A43236">
              <w:t xml:space="preserve"> prior to the TXRR</w:t>
            </w:r>
            <w:r w:rsidR="007F6B25">
              <w:t xml:space="preserve">, are </w:t>
            </w:r>
            <w:r w:rsidR="00181B31">
              <w:t xml:space="preserve">all </w:t>
            </w:r>
            <w:r w:rsidR="007F6B25">
              <w:t xml:space="preserve">of the </w:t>
            </w:r>
            <w:r w:rsidR="00A265BD">
              <w:t xml:space="preserve">applicable </w:t>
            </w:r>
            <w:r w:rsidR="006122A4">
              <w:t>P</w:t>
            </w:r>
            <w:r w:rsidR="00181B31">
              <w:t xml:space="preserve">roducts </w:t>
            </w:r>
            <w:r w:rsidR="00B038A6">
              <w:t xml:space="preserve">identified in the </w:t>
            </w:r>
            <w:r w:rsidR="00A265BD">
              <w:t xml:space="preserve">relevant </w:t>
            </w:r>
            <w:r w:rsidR="00B038A6">
              <w:t>section</w:t>
            </w:r>
            <w:r w:rsidR="00181B31">
              <w:t>s</w:t>
            </w:r>
            <w:r w:rsidR="007F6B25">
              <w:t>, specifically:</w:t>
            </w:r>
          </w:p>
          <w:p w14:paraId="43BF8F94" w14:textId="77777777" w:rsidR="00B038A6" w:rsidRDefault="005C73F5" w:rsidP="00E938CA">
            <w:pPr>
              <w:pStyle w:val="Table10ptSub1-ASDEFCON"/>
            </w:pPr>
            <w:r>
              <w:t xml:space="preserve">Are the Mission System(s) </w:t>
            </w:r>
            <w:r w:rsidR="00E94802">
              <w:t xml:space="preserve">(and </w:t>
            </w:r>
            <w:r w:rsidR="00B038A6">
              <w:t>excluded items</w:t>
            </w:r>
            <w:r w:rsidR="00E94802">
              <w:t>)</w:t>
            </w:r>
            <w:r>
              <w:t xml:space="preserve"> and Repairable Items of the Mission System and Support System</w:t>
            </w:r>
            <w:r w:rsidR="00E94802">
              <w:t xml:space="preserve"> (including S&amp;TE and Training Equipment)</w:t>
            </w:r>
            <w:r>
              <w:t xml:space="preserve">, identified in Annex A, </w:t>
            </w:r>
            <w:r w:rsidR="00B038A6">
              <w:t xml:space="preserve">consistent with </w:t>
            </w:r>
            <w:r w:rsidR="00BA5FF1">
              <w:t xml:space="preserve">the </w:t>
            </w:r>
            <w:r>
              <w:t xml:space="preserve">Approved </w:t>
            </w:r>
            <w:r w:rsidR="001C7E66">
              <w:t xml:space="preserve">SSDESC and </w:t>
            </w:r>
            <w:r w:rsidR="006D5544">
              <w:t>provisioning lists (</w:t>
            </w:r>
            <w:proofErr w:type="spellStart"/>
            <w:r w:rsidR="006D5544">
              <w:t>eg</w:t>
            </w:r>
            <w:proofErr w:type="spellEnd"/>
            <w:r w:rsidR="006D5544">
              <w:t>, RSPL, S&amp;TEPL</w:t>
            </w:r>
            <w:r w:rsidR="00E94802">
              <w:t>,</w:t>
            </w:r>
            <w:r w:rsidR="006D5544">
              <w:t xml:space="preserve"> TEL</w:t>
            </w:r>
            <w:r w:rsidR="00E94802">
              <w:t xml:space="preserve"> and PACKPL</w:t>
            </w:r>
            <w:r w:rsidR="006D5544">
              <w:t>)</w:t>
            </w:r>
            <w:r w:rsidR="00B038A6">
              <w:t>?</w:t>
            </w:r>
          </w:p>
          <w:p w14:paraId="26F3EADF" w14:textId="77777777" w:rsidR="00B038A6" w:rsidRDefault="00B038A6" w:rsidP="00E938CA">
            <w:pPr>
              <w:pStyle w:val="Table10ptSub1-ASDEFCON"/>
            </w:pPr>
            <w:r>
              <w:t xml:space="preserve">Are </w:t>
            </w:r>
            <w:r w:rsidR="00802D1A">
              <w:t>the</w:t>
            </w:r>
            <w:r>
              <w:t xml:space="preserve"> </w:t>
            </w:r>
            <w:r w:rsidR="005C73F5">
              <w:t xml:space="preserve">required </w:t>
            </w:r>
            <w:r>
              <w:t>non-</w:t>
            </w:r>
            <w:r w:rsidR="0083086A">
              <w:t>R</w:t>
            </w:r>
            <w:r>
              <w:t xml:space="preserve">epairable </w:t>
            </w:r>
            <w:r w:rsidR="0083086A">
              <w:t>I</w:t>
            </w:r>
            <w:r>
              <w:t>tems</w:t>
            </w:r>
            <w:r w:rsidR="00A569DB">
              <w:t>,</w:t>
            </w:r>
            <w:r>
              <w:t xml:space="preserve"> identified in </w:t>
            </w:r>
            <w:r w:rsidR="005C73F5">
              <w:t>Annex A,</w:t>
            </w:r>
            <w:r>
              <w:t xml:space="preserve"> consistent with the </w:t>
            </w:r>
            <w:r w:rsidR="006D5544">
              <w:t>applicable provisioning lists</w:t>
            </w:r>
            <w:r>
              <w:t>?</w:t>
            </w:r>
          </w:p>
          <w:p w14:paraId="76863923" w14:textId="77777777" w:rsidR="00404348" w:rsidRDefault="00E94802" w:rsidP="00E938CA">
            <w:pPr>
              <w:pStyle w:val="Table10ptSub1-ASDEFCON"/>
            </w:pPr>
            <w:r>
              <w:t xml:space="preserve">Is </w:t>
            </w:r>
            <w:r w:rsidR="00404348">
              <w:t xml:space="preserve">all </w:t>
            </w:r>
            <w:r w:rsidR="005B4507">
              <w:t xml:space="preserve">of the </w:t>
            </w:r>
            <w:r w:rsidR="00404348">
              <w:t>required Technical Data identified in Annex A</w:t>
            </w:r>
            <w:r w:rsidR="005B4507">
              <w:t xml:space="preserve"> and Annex D</w:t>
            </w:r>
            <w:r w:rsidR="00404348">
              <w:t>, and are th</w:t>
            </w:r>
            <w:r w:rsidR="00286D4A">
              <w:t>os</w:t>
            </w:r>
            <w:r w:rsidR="00404348">
              <w:t xml:space="preserve">e </w:t>
            </w:r>
            <w:r w:rsidR="002029C5">
              <w:t xml:space="preserve">Annexes </w:t>
            </w:r>
            <w:r w:rsidR="00404348">
              <w:t xml:space="preserve">consistent with the Approved </w:t>
            </w:r>
            <w:r w:rsidR="0083086A">
              <w:t xml:space="preserve">Contract (Acquisition) </w:t>
            </w:r>
            <w:r w:rsidR="006F5544">
              <w:t>SS</w:t>
            </w:r>
            <w:r w:rsidR="007B233D">
              <w:t xml:space="preserve">TDL and Contract (Support) </w:t>
            </w:r>
            <w:r w:rsidR="00404348">
              <w:t>TDL?</w:t>
            </w:r>
          </w:p>
          <w:p w14:paraId="164AE289" w14:textId="77777777" w:rsidR="00404348" w:rsidRDefault="00404348" w:rsidP="00E938CA">
            <w:pPr>
              <w:pStyle w:val="Table10ptSub1-ASDEFCON"/>
            </w:pPr>
            <w:r>
              <w:t xml:space="preserve">Are all </w:t>
            </w:r>
            <w:r w:rsidR="003C7BF1">
              <w:t>S</w:t>
            </w:r>
            <w:r>
              <w:t>oftware items identified in Annex A consistent with the draft or Approved SWSP (as applicable at the time that the TXRR is held)?</w:t>
            </w:r>
          </w:p>
          <w:p w14:paraId="51E16E1F" w14:textId="77777777" w:rsidR="007F6B25" w:rsidRDefault="007F6B25" w:rsidP="00E938CA">
            <w:pPr>
              <w:pStyle w:val="Table10ptSub1-ASDEFCON"/>
            </w:pPr>
            <w:r>
              <w:t xml:space="preserve">Have </w:t>
            </w:r>
            <w:r w:rsidR="007C6B13">
              <w:t xml:space="preserve">identifiers for </w:t>
            </w:r>
            <w:r w:rsidR="00F3066D">
              <w:t xml:space="preserve">allocating </w:t>
            </w:r>
            <w:r>
              <w:t>Service</w:t>
            </w:r>
            <w:r w:rsidR="00F3066D">
              <w:t>s</w:t>
            </w:r>
            <w:r w:rsidR="007C6B13">
              <w:t xml:space="preserve"> </w:t>
            </w:r>
            <w:r w:rsidR="00F3066D">
              <w:t>(</w:t>
            </w:r>
            <w:proofErr w:type="spellStart"/>
            <w:r w:rsidR="00F3066D">
              <w:t>ie</w:t>
            </w:r>
            <w:proofErr w:type="spellEnd"/>
            <w:r w:rsidR="00F3066D">
              <w:t>, within table columns</w:t>
            </w:r>
            <w:r w:rsidR="007C6B13">
              <w:t xml:space="preserve">) </w:t>
            </w:r>
            <w:r>
              <w:t>been assigned to the</w:t>
            </w:r>
            <w:r w:rsidR="007B233D">
              <w:t xml:space="preserve"> </w:t>
            </w:r>
            <w:r>
              <w:t xml:space="preserve">Products in a manner </w:t>
            </w:r>
            <w:r w:rsidR="00F3066D">
              <w:t xml:space="preserve">that is </w:t>
            </w:r>
            <w:r>
              <w:t xml:space="preserve">consistent with </w:t>
            </w:r>
            <w:r w:rsidR="007B233D">
              <w:t xml:space="preserve">Contractor (Support) </w:t>
            </w:r>
            <w:r>
              <w:t>responsibilities</w:t>
            </w:r>
            <w:r w:rsidR="00F3066D">
              <w:t>,</w:t>
            </w:r>
            <w:r>
              <w:t xml:space="preserve"> </w:t>
            </w:r>
            <w:r w:rsidR="007B233D">
              <w:t xml:space="preserve">as </w:t>
            </w:r>
            <w:r>
              <w:t>defined in the SSDESC</w:t>
            </w:r>
            <w:r w:rsidR="00F3066D">
              <w:t xml:space="preserve"> and Contract (Support) SOW</w:t>
            </w:r>
            <w:r>
              <w:t>?</w:t>
            </w:r>
          </w:p>
        </w:tc>
        <w:tc>
          <w:tcPr>
            <w:tcW w:w="1275" w:type="dxa"/>
          </w:tcPr>
          <w:p w14:paraId="504A789F" w14:textId="77777777" w:rsidR="00B038A6" w:rsidRDefault="007159E4" w:rsidP="00E938CA">
            <w:pPr>
              <w:pStyle w:val="Table10ptText-ASDEFCON"/>
            </w:pPr>
            <w:r>
              <w:t>Mandatory</w:t>
            </w:r>
          </w:p>
        </w:tc>
      </w:tr>
      <w:tr w:rsidR="00B038A6" w14:paraId="18843885" w14:textId="77777777" w:rsidTr="00025819">
        <w:tc>
          <w:tcPr>
            <w:tcW w:w="709" w:type="dxa"/>
          </w:tcPr>
          <w:p w14:paraId="78122125" w14:textId="77777777" w:rsidR="00B038A6" w:rsidRDefault="00B038A6" w:rsidP="0037122C">
            <w:pPr>
              <w:pStyle w:val="ATTANNLV1-ASDEFCON"/>
              <w:keepNext w:val="0"/>
            </w:pPr>
          </w:p>
        </w:tc>
        <w:tc>
          <w:tcPr>
            <w:tcW w:w="6237" w:type="dxa"/>
          </w:tcPr>
          <w:p w14:paraId="6A8E8EA3" w14:textId="77777777" w:rsidR="00A43236" w:rsidRDefault="007F7105" w:rsidP="00E938CA">
            <w:pPr>
              <w:pStyle w:val="Table10ptSub1-ASDEFCON"/>
            </w:pPr>
            <w:r>
              <w:t>In respect of the</w:t>
            </w:r>
            <w:r w:rsidR="00483FF2">
              <w:t xml:space="preserve"> proposed</w:t>
            </w:r>
            <w:r w:rsidR="00A43236">
              <w:t xml:space="preserve"> update to Annex A</w:t>
            </w:r>
            <w:r w:rsidR="007C6B13">
              <w:t>,</w:t>
            </w:r>
            <w:r w:rsidR="00A43236">
              <w:t xml:space="preserve"> </w:t>
            </w:r>
            <w:r w:rsidR="001672EE">
              <w:t>delivered</w:t>
            </w:r>
            <w:r w:rsidR="00A43236">
              <w:t xml:space="preserve"> prior to </w:t>
            </w:r>
            <w:r w:rsidR="00E41770">
              <w:t xml:space="preserve">the </w:t>
            </w:r>
            <w:r w:rsidR="00A43236">
              <w:t>TXRR, d</w:t>
            </w:r>
            <w:r w:rsidR="00B038A6">
              <w:t>o the</w:t>
            </w:r>
            <w:r w:rsidR="00A43236">
              <w:t>:</w:t>
            </w:r>
          </w:p>
          <w:p w14:paraId="7A02E957" w14:textId="77777777" w:rsidR="00A43236" w:rsidRDefault="00A43236" w:rsidP="00E938CA">
            <w:pPr>
              <w:pStyle w:val="Table10ptSub1-ASDEFCON"/>
            </w:pPr>
            <w:r>
              <w:t>Contractor (Support)</w:t>
            </w:r>
            <w:r w:rsidR="00B038A6">
              <w:t xml:space="preserve">, </w:t>
            </w:r>
          </w:p>
          <w:p w14:paraId="5CBE9E8C" w14:textId="77777777" w:rsidR="00A43236" w:rsidRDefault="00B038A6" w:rsidP="00E938CA">
            <w:pPr>
              <w:pStyle w:val="Table10ptSub1-ASDEFCON"/>
            </w:pPr>
            <w:r>
              <w:t xml:space="preserve">Contractor (Acquisition), and </w:t>
            </w:r>
          </w:p>
          <w:p w14:paraId="17D54916" w14:textId="77777777" w:rsidR="00DF588E" w:rsidRDefault="00A43236" w:rsidP="00E938CA">
            <w:pPr>
              <w:pStyle w:val="Table10ptSub1-ASDEFCON"/>
            </w:pPr>
            <w:r>
              <w:t>Commonwealth Representative,</w:t>
            </w:r>
          </w:p>
          <w:p w14:paraId="6C619DDE" w14:textId="77777777" w:rsidR="00982100" w:rsidRDefault="00B038A6" w:rsidP="00E938CA">
            <w:pPr>
              <w:pStyle w:val="Table10ptSub1-ASDEFCON"/>
            </w:pPr>
            <w:r>
              <w:t xml:space="preserve">agree that the </w:t>
            </w:r>
            <w:r w:rsidR="007C6B13">
              <w:t>Products</w:t>
            </w:r>
            <w:r w:rsidR="00E869F8">
              <w:t xml:space="preserve"> that are</w:t>
            </w:r>
            <w:r w:rsidR="007C6B13">
              <w:t xml:space="preserve"> </w:t>
            </w:r>
            <w:r w:rsidR="00DF2A4A">
              <w:t>Support Resources</w:t>
            </w:r>
            <w:r>
              <w:t xml:space="preserve"> will reasonably </w:t>
            </w:r>
            <w:r w:rsidR="00A43236">
              <w:t>allow</w:t>
            </w:r>
            <w:r>
              <w:t xml:space="preserve"> the Contractor (Support) to</w:t>
            </w:r>
            <w:r w:rsidR="00982100">
              <w:t>:</w:t>
            </w:r>
          </w:p>
          <w:p w14:paraId="77F2356C" w14:textId="77777777" w:rsidR="00982100" w:rsidRDefault="00B038A6" w:rsidP="00E938CA">
            <w:pPr>
              <w:pStyle w:val="Table10ptSub1-ASDEFCON"/>
            </w:pPr>
            <w:r>
              <w:t xml:space="preserve">satisfy the </w:t>
            </w:r>
            <w:r w:rsidR="005C73F5">
              <w:t>SS</w:t>
            </w:r>
            <w:r>
              <w:t>FBL for the Services to be provided under the Contract (Support)</w:t>
            </w:r>
            <w:r w:rsidR="00982100">
              <w:t>; and</w:t>
            </w:r>
          </w:p>
          <w:p w14:paraId="21F8601B" w14:textId="77777777" w:rsidR="00B038A6" w:rsidRDefault="00982100" w:rsidP="00E938CA">
            <w:pPr>
              <w:pStyle w:val="Table10ptSub1-ASDEFCON"/>
            </w:pPr>
            <w:r>
              <w:t xml:space="preserve">achieve </w:t>
            </w:r>
            <w:r w:rsidR="00DF2A4A">
              <w:t xml:space="preserve">the </w:t>
            </w:r>
            <w:r w:rsidR="00E869F8">
              <w:t>required</w:t>
            </w:r>
            <w:r w:rsidR="00DF2A4A">
              <w:t xml:space="preserve"> performance </w:t>
            </w:r>
            <w:r w:rsidR="00E869F8">
              <w:t xml:space="preserve">level(s) </w:t>
            </w:r>
            <w:r>
              <w:t xml:space="preserve">specified </w:t>
            </w:r>
            <w:r w:rsidR="00E869F8">
              <w:t>for</w:t>
            </w:r>
            <w:r>
              <w:t xml:space="preserve"> Key Performance Indicators within the Contract (Support)</w:t>
            </w:r>
            <w:r w:rsidR="00B038A6">
              <w:t>?</w:t>
            </w:r>
          </w:p>
        </w:tc>
        <w:tc>
          <w:tcPr>
            <w:tcW w:w="1275" w:type="dxa"/>
          </w:tcPr>
          <w:p w14:paraId="508BA6A0" w14:textId="77777777" w:rsidR="00B038A6" w:rsidRDefault="00E65E14" w:rsidP="00E938CA">
            <w:pPr>
              <w:pStyle w:val="Table10ptText-ASDEFCON"/>
            </w:pPr>
            <w:r>
              <w:t>Mandatory</w:t>
            </w:r>
          </w:p>
        </w:tc>
      </w:tr>
      <w:tr w:rsidR="00A265BD" w14:paraId="7B5BA47D" w14:textId="77777777" w:rsidTr="00C53C79">
        <w:tc>
          <w:tcPr>
            <w:tcW w:w="709" w:type="dxa"/>
          </w:tcPr>
          <w:p w14:paraId="23790B7A" w14:textId="77777777" w:rsidR="00A265BD" w:rsidRDefault="00A265BD" w:rsidP="0037122C">
            <w:pPr>
              <w:pStyle w:val="ATTANNLV1-ASDEFCON"/>
              <w:keepNext w:val="0"/>
            </w:pPr>
          </w:p>
        </w:tc>
        <w:tc>
          <w:tcPr>
            <w:tcW w:w="6237" w:type="dxa"/>
          </w:tcPr>
          <w:p w14:paraId="75BA13E5" w14:textId="77777777" w:rsidR="00A265BD" w:rsidRDefault="00A265BD" w:rsidP="00E938CA">
            <w:pPr>
              <w:pStyle w:val="Table10ptText-ASDEFCON"/>
            </w:pPr>
            <w:r>
              <w:t>Have all of the organisations involved in Transition, including the Commonwealth, Contractor (Acquisition), Contractor (Support), Subcontractor</w:t>
            </w:r>
            <w:r w:rsidR="00E869F8">
              <w:t>s</w:t>
            </w:r>
            <w:r>
              <w:t xml:space="preserve"> (Acquisition) and Subcontractor</w:t>
            </w:r>
            <w:r w:rsidR="00E869F8">
              <w:t>s</w:t>
            </w:r>
            <w:r>
              <w:t xml:space="preserve"> (Support) organisations been identified and their responsibilities agreed?</w:t>
            </w:r>
          </w:p>
        </w:tc>
        <w:tc>
          <w:tcPr>
            <w:tcW w:w="1275" w:type="dxa"/>
          </w:tcPr>
          <w:p w14:paraId="7E9A2A74" w14:textId="77777777" w:rsidR="00A265BD" w:rsidRDefault="00A265BD" w:rsidP="00E938CA">
            <w:pPr>
              <w:pStyle w:val="Table10ptText-ASDEFCON"/>
            </w:pPr>
            <w:r>
              <w:t>Mandatory</w:t>
            </w:r>
          </w:p>
        </w:tc>
      </w:tr>
      <w:tr w:rsidR="00B038A6" w14:paraId="5DC62D88" w14:textId="77777777" w:rsidTr="00025819">
        <w:tc>
          <w:tcPr>
            <w:tcW w:w="709" w:type="dxa"/>
          </w:tcPr>
          <w:p w14:paraId="05C25576" w14:textId="77777777" w:rsidR="00B038A6" w:rsidRDefault="00B038A6" w:rsidP="0037122C">
            <w:pPr>
              <w:pStyle w:val="ATTANNLV1-ASDEFCON"/>
              <w:keepNext w:val="0"/>
            </w:pPr>
          </w:p>
        </w:tc>
        <w:tc>
          <w:tcPr>
            <w:tcW w:w="6237" w:type="dxa"/>
          </w:tcPr>
          <w:p w14:paraId="0B5541B3" w14:textId="77777777" w:rsidR="00B038A6" w:rsidRDefault="007F7105" w:rsidP="00E938CA">
            <w:pPr>
              <w:pStyle w:val="Table10ptText-ASDEFCON"/>
            </w:pPr>
            <w:r>
              <w:t xml:space="preserve">In respect of </w:t>
            </w:r>
            <w:r w:rsidR="00982100">
              <w:t>Government Furnished Materi</w:t>
            </w:r>
            <w:r w:rsidR="00546149">
              <w:t>a</w:t>
            </w:r>
            <w:r w:rsidR="00982100">
              <w:t>l (GFM)</w:t>
            </w:r>
            <w:r w:rsidR="00E869F8">
              <w:t xml:space="preserve"> for the Contract (Support)</w:t>
            </w:r>
            <w:r w:rsidR="00F44C3A">
              <w:t>,</w:t>
            </w:r>
            <w:r w:rsidR="00982100">
              <w:t xml:space="preserve"> </w:t>
            </w:r>
            <w:r w:rsidR="008F3EC9">
              <w:t xml:space="preserve">if </w:t>
            </w:r>
            <w:r w:rsidR="00483FF2">
              <w:t>a proposed</w:t>
            </w:r>
            <w:r w:rsidR="00A43236">
              <w:t xml:space="preserve"> update to </w:t>
            </w:r>
            <w:r w:rsidR="00982100">
              <w:t xml:space="preserve">the </w:t>
            </w:r>
            <w:r w:rsidR="00B038A6">
              <w:t xml:space="preserve">Contract (Support) Attachment E </w:t>
            </w:r>
            <w:r w:rsidR="00A43236">
              <w:t xml:space="preserve">was </w:t>
            </w:r>
            <w:r w:rsidR="001672EE">
              <w:t>delivered</w:t>
            </w:r>
            <w:r w:rsidR="00A43236">
              <w:t xml:space="preserve"> prior to </w:t>
            </w:r>
            <w:r w:rsidR="00E41770">
              <w:t xml:space="preserve">the </w:t>
            </w:r>
            <w:r w:rsidR="00A43236">
              <w:t>TXRR:</w:t>
            </w:r>
          </w:p>
          <w:p w14:paraId="60C61B7C" w14:textId="77777777" w:rsidR="00B038A6" w:rsidRDefault="001C7E66" w:rsidP="00E938CA">
            <w:pPr>
              <w:pStyle w:val="Table10ptText-ASDEFCON"/>
            </w:pPr>
            <w:r>
              <w:lastRenderedPageBreak/>
              <w:t xml:space="preserve">Have </w:t>
            </w:r>
            <w:r w:rsidR="00B038A6">
              <w:t>all materiel items to be delivered by the Contractor (Acquisition) to the Contractor (Support)</w:t>
            </w:r>
            <w:r w:rsidR="00F44C3A">
              <w:t>,</w:t>
            </w:r>
            <w:r w:rsidR="00B038A6">
              <w:t xml:space="preserve"> </w:t>
            </w:r>
            <w:r w:rsidR="00982100">
              <w:t xml:space="preserve">and designated </w:t>
            </w:r>
            <w:r w:rsidR="00B038A6">
              <w:t xml:space="preserve">as GFM, been included </w:t>
            </w:r>
            <w:r w:rsidR="00483FF2">
              <w:t>in the proposed update</w:t>
            </w:r>
            <w:r w:rsidR="00B038A6">
              <w:t>?</w:t>
            </w:r>
          </w:p>
          <w:p w14:paraId="2B194B60" w14:textId="77777777" w:rsidR="00B038A6" w:rsidRDefault="001C7E66" w:rsidP="00E938CA">
            <w:pPr>
              <w:pStyle w:val="Table10ptText-ASDEFCON"/>
            </w:pPr>
            <w:r>
              <w:t xml:space="preserve">Have </w:t>
            </w:r>
            <w:r w:rsidR="00B038A6">
              <w:t xml:space="preserve">all materiel items to be provided </w:t>
            </w:r>
            <w:r w:rsidR="00F44C3A">
              <w:t xml:space="preserve">by the Commonwealth </w:t>
            </w:r>
            <w:r w:rsidR="00B038A6">
              <w:t>to the Contractor (Support)</w:t>
            </w:r>
            <w:r w:rsidR="00F44C3A">
              <w:t>,</w:t>
            </w:r>
            <w:r w:rsidR="00B038A6">
              <w:t xml:space="preserve"> as GFM </w:t>
            </w:r>
            <w:r w:rsidR="00483FF2">
              <w:t>but</w:t>
            </w:r>
            <w:r w:rsidR="00B038A6">
              <w:t xml:space="preserve"> not sourced from the Contract (Acquisition), been included in the proposed </w:t>
            </w:r>
            <w:r w:rsidR="00483FF2">
              <w:t>update</w:t>
            </w:r>
            <w:r w:rsidR="00B038A6">
              <w:t>?</w:t>
            </w:r>
          </w:p>
          <w:p w14:paraId="046D67DD" w14:textId="77777777" w:rsidR="00982100" w:rsidRDefault="009E46F8" w:rsidP="00E938CA">
            <w:pPr>
              <w:pStyle w:val="Table10ptText-ASDEFCON"/>
            </w:pPr>
            <w:r>
              <w:t>If</w:t>
            </w:r>
            <w:r w:rsidR="00F44C3A">
              <w:t xml:space="preserve"> </w:t>
            </w:r>
            <w:r w:rsidR="00982100">
              <w:t xml:space="preserve">updates to </w:t>
            </w:r>
            <w:r w:rsidR="00E869F8">
              <w:t xml:space="preserve">Attachment E to the Contract (Support) were proposed for </w:t>
            </w:r>
            <w:r w:rsidR="00982100">
              <w:t>Government Furnished Facilities (GFF) and</w:t>
            </w:r>
            <w:r>
              <w:t>/or</w:t>
            </w:r>
            <w:r w:rsidR="00982100">
              <w:t xml:space="preserve"> </w:t>
            </w:r>
            <w:r w:rsidR="005B4507">
              <w:t xml:space="preserve">Government Furnished </w:t>
            </w:r>
            <w:r w:rsidR="00982100">
              <w:t>Services (GFS)</w:t>
            </w:r>
            <w:r w:rsidR="005B4507">
              <w:t xml:space="preserve">, have these been </w:t>
            </w:r>
            <w:r w:rsidR="00E869F8">
              <w:t>sufficiently</w:t>
            </w:r>
            <w:r w:rsidR="005B4507">
              <w:t xml:space="preserve"> defined</w:t>
            </w:r>
            <w:r w:rsidR="00F44C3A">
              <w:t xml:space="preserve"> to </w:t>
            </w:r>
            <w:r w:rsidR="00E869F8">
              <w:t>facilitate</w:t>
            </w:r>
            <w:r w:rsidR="00F44C3A">
              <w:t xml:space="preserve"> </w:t>
            </w:r>
            <w:r w:rsidR="00E869F8">
              <w:t>Transition, Phase In and Ramp Up, as applicable</w:t>
            </w:r>
            <w:r w:rsidR="00F44C3A">
              <w:t>?</w:t>
            </w:r>
          </w:p>
        </w:tc>
        <w:tc>
          <w:tcPr>
            <w:tcW w:w="1275" w:type="dxa"/>
          </w:tcPr>
          <w:p w14:paraId="74362F6C" w14:textId="77777777" w:rsidR="00B038A6" w:rsidRDefault="00E65E14" w:rsidP="00E938CA">
            <w:pPr>
              <w:pStyle w:val="Table10ptText-ASDEFCON"/>
            </w:pPr>
            <w:r>
              <w:lastRenderedPageBreak/>
              <w:t>Highly Desirable</w:t>
            </w:r>
          </w:p>
        </w:tc>
      </w:tr>
      <w:tr w:rsidR="001672EE" w14:paraId="40A0E430" w14:textId="77777777" w:rsidTr="00025819">
        <w:tc>
          <w:tcPr>
            <w:tcW w:w="709" w:type="dxa"/>
          </w:tcPr>
          <w:p w14:paraId="16CD9872" w14:textId="77777777" w:rsidR="001672EE" w:rsidRDefault="001672EE" w:rsidP="0037122C">
            <w:pPr>
              <w:pStyle w:val="ATTANNLV1-ASDEFCON"/>
              <w:keepNext w:val="0"/>
            </w:pPr>
          </w:p>
        </w:tc>
        <w:tc>
          <w:tcPr>
            <w:tcW w:w="6237" w:type="dxa"/>
          </w:tcPr>
          <w:p w14:paraId="685DFF50" w14:textId="77777777" w:rsidR="001672EE" w:rsidRDefault="0051264C" w:rsidP="00E938CA">
            <w:pPr>
              <w:pStyle w:val="Table10ptText-ASDEFCON"/>
            </w:pPr>
            <w:r>
              <w:t>In respect of the Supplies</w:t>
            </w:r>
            <w:r w:rsidR="001672EE">
              <w:t xml:space="preserve">, have the </w:t>
            </w:r>
            <w:r>
              <w:t xml:space="preserve">in-service </w:t>
            </w:r>
            <w:r w:rsidR="001672EE">
              <w:t xml:space="preserve">processes and responsibilities for warranty repair or replacement by the Contractor (Acquisition) been defined by the </w:t>
            </w:r>
            <w:r w:rsidR="00321735">
              <w:t>Contractor (Acquisition) and the Contractor (Support)</w:t>
            </w:r>
            <w:r w:rsidR="001672EE">
              <w:t>, and are these arrangement</w:t>
            </w:r>
            <w:r w:rsidR="00E84384">
              <w:t>s</w:t>
            </w:r>
            <w:r w:rsidR="001672EE">
              <w:t xml:space="preserve"> acceptable </w:t>
            </w:r>
            <w:r w:rsidR="001C7E66">
              <w:t>to</w:t>
            </w:r>
            <w:r w:rsidR="001672EE">
              <w:t xml:space="preserve"> the Commonwealth Representative?</w:t>
            </w:r>
          </w:p>
        </w:tc>
        <w:tc>
          <w:tcPr>
            <w:tcW w:w="1275" w:type="dxa"/>
          </w:tcPr>
          <w:p w14:paraId="79189F36" w14:textId="77777777" w:rsidR="001672EE" w:rsidRDefault="001672EE" w:rsidP="00E938CA">
            <w:pPr>
              <w:pStyle w:val="Table10ptText-ASDEFCON"/>
            </w:pPr>
            <w:r>
              <w:t>Highly Desirable</w:t>
            </w:r>
          </w:p>
        </w:tc>
      </w:tr>
      <w:tr w:rsidR="00D16AFB" w14:paraId="54015E73" w14:textId="77777777" w:rsidTr="00025819">
        <w:tc>
          <w:tcPr>
            <w:tcW w:w="709" w:type="dxa"/>
          </w:tcPr>
          <w:p w14:paraId="0A0C14D5" w14:textId="77777777" w:rsidR="00D16AFB" w:rsidRDefault="00D16AFB" w:rsidP="0037122C">
            <w:pPr>
              <w:pStyle w:val="ATTANNLV1-ASDEFCON"/>
              <w:keepNext w:val="0"/>
            </w:pPr>
          </w:p>
        </w:tc>
        <w:tc>
          <w:tcPr>
            <w:tcW w:w="6237" w:type="dxa"/>
          </w:tcPr>
          <w:p w14:paraId="0C87EAA7" w14:textId="7BDB78AC" w:rsidR="00D16AFB" w:rsidRDefault="0062034F" w:rsidP="00E938CA">
            <w:pPr>
              <w:pStyle w:val="Table10ptText-ASDEFCON"/>
            </w:pPr>
            <w:r>
              <w:t>Is</w:t>
            </w:r>
            <w:r w:rsidR="00AB51AF">
              <w:t xml:space="preserve"> the Technical Data identified in the </w:t>
            </w:r>
            <w:r>
              <w:t xml:space="preserve">SSTDL and the </w:t>
            </w:r>
            <w:r w:rsidR="00AB51AF">
              <w:t xml:space="preserve">ASTDL </w:t>
            </w:r>
            <w:r>
              <w:t xml:space="preserve">(and associated IP rights) </w:t>
            </w:r>
            <w:r w:rsidR="00AB51AF">
              <w:t>for delivery to</w:t>
            </w:r>
            <w:r w:rsidR="00B4296B">
              <w:t xml:space="preserve"> each</w:t>
            </w:r>
            <w:r w:rsidR="00AB51AF">
              <w:t xml:space="preserve"> </w:t>
            </w:r>
            <w:r>
              <w:t>entit</w:t>
            </w:r>
            <w:r w:rsidR="00B4296B">
              <w:t>y</w:t>
            </w:r>
            <w:r>
              <w:t xml:space="preserve"> that </w:t>
            </w:r>
            <w:r w:rsidR="00B4296B">
              <w:t>is</w:t>
            </w:r>
            <w:r>
              <w:t xml:space="preserve">, or will become, </w:t>
            </w:r>
            <w:r w:rsidR="00AB51AF">
              <w:t xml:space="preserve">the Contractor (Support) or a </w:t>
            </w:r>
            <w:r w:rsidR="00D80785">
              <w:t>Subcontractor (Support)</w:t>
            </w:r>
            <w:r>
              <w:t>, sufficient to enable the required Services to be provide</w:t>
            </w:r>
            <w:r w:rsidR="00690F32">
              <w:t>d</w:t>
            </w:r>
            <w:r w:rsidR="000A3AE1">
              <w:t>?</w:t>
            </w:r>
          </w:p>
        </w:tc>
        <w:tc>
          <w:tcPr>
            <w:tcW w:w="1275" w:type="dxa"/>
          </w:tcPr>
          <w:p w14:paraId="5541AFC8" w14:textId="40AD15C1" w:rsidR="00D16AFB" w:rsidRDefault="00B4296B" w:rsidP="00E938CA">
            <w:pPr>
              <w:pStyle w:val="Table10ptText-ASDEFCON"/>
            </w:pPr>
            <w:r>
              <w:t>Highly Desirable</w:t>
            </w:r>
          </w:p>
        </w:tc>
      </w:tr>
      <w:tr w:rsidR="000123E2" w14:paraId="16304082" w14:textId="77777777" w:rsidTr="00025819">
        <w:tc>
          <w:tcPr>
            <w:tcW w:w="709" w:type="dxa"/>
          </w:tcPr>
          <w:p w14:paraId="775ECBCB" w14:textId="77777777" w:rsidR="000123E2" w:rsidRDefault="000123E2" w:rsidP="0037122C">
            <w:pPr>
              <w:pStyle w:val="ATTANNLV1-ASDEFCON"/>
              <w:keepNext w:val="0"/>
            </w:pPr>
          </w:p>
        </w:tc>
        <w:tc>
          <w:tcPr>
            <w:tcW w:w="6237" w:type="dxa"/>
          </w:tcPr>
          <w:p w14:paraId="0ABD1A18" w14:textId="2D05DD57" w:rsidR="00286D4A" w:rsidRDefault="000123E2" w:rsidP="00E938CA">
            <w:pPr>
              <w:pStyle w:val="Table10ptText-ASDEFCON"/>
            </w:pPr>
            <w:r>
              <w:t>Are the Support Resources, Training, IP rights</w:t>
            </w:r>
            <w:r w:rsidR="009C1512">
              <w:t>,</w:t>
            </w:r>
            <w:r>
              <w:t xml:space="preserve"> and other </w:t>
            </w:r>
            <w:r w:rsidR="00286D4A">
              <w:t xml:space="preserve">Supplies </w:t>
            </w:r>
            <w:r>
              <w:t>to be provided by the Contractor (</w:t>
            </w:r>
            <w:r w:rsidR="00286D4A">
              <w:t>Acquisition</w:t>
            </w:r>
            <w:r>
              <w:t xml:space="preserve">), sufficient to enable </w:t>
            </w:r>
            <w:r w:rsidR="00286D4A">
              <w:t xml:space="preserve">the AIC </w:t>
            </w:r>
            <w:r w:rsidR="00B6505C">
              <w:t>O</w:t>
            </w:r>
            <w:r w:rsidR="00286D4A">
              <w:t xml:space="preserve">bligations of </w:t>
            </w:r>
            <w:r>
              <w:t xml:space="preserve">the Contract (Acquisition) </w:t>
            </w:r>
            <w:r w:rsidR="00286D4A">
              <w:t>to be completed?</w:t>
            </w:r>
          </w:p>
          <w:p w14:paraId="139EBB33" w14:textId="77777777" w:rsidR="000123E2" w:rsidDel="001C7E66" w:rsidRDefault="00286D4A" w:rsidP="00E938CA">
            <w:pPr>
              <w:pStyle w:val="Table10ptText-ASDEFCON"/>
            </w:pPr>
            <w:r>
              <w:t xml:space="preserve">Are the Support Resources, Training, IP rights, and other Products and Services to be established or provided </w:t>
            </w:r>
            <w:r w:rsidR="00A66AD0">
              <w:t>by the Contractor (Support), sufficient to enable the AIC obligations of the</w:t>
            </w:r>
            <w:r w:rsidR="000123E2">
              <w:t xml:space="preserve"> Contract (Support) to be </w:t>
            </w:r>
            <w:r w:rsidR="00A66AD0">
              <w:t>achieved</w:t>
            </w:r>
            <w:r w:rsidR="000123E2">
              <w:t>?</w:t>
            </w:r>
          </w:p>
        </w:tc>
        <w:tc>
          <w:tcPr>
            <w:tcW w:w="1275" w:type="dxa"/>
          </w:tcPr>
          <w:p w14:paraId="4B805B02" w14:textId="77777777" w:rsidR="000123E2" w:rsidRDefault="000123E2" w:rsidP="00E938CA">
            <w:pPr>
              <w:pStyle w:val="Table10ptText-ASDEFCON"/>
            </w:pPr>
            <w:r>
              <w:t>Mandatory</w:t>
            </w:r>
          </w:p>
        </w:tc>
      </w:tr>
      <w:tr w:rsidR="000A3AE1" w14:paraId="7C681364" w14:textId="77777777" w:rsidTr="00025819">
        <w:tc>
          <w:tcPr>
            <w:tcW w:w="709" w:type="dxa"/>
          </w:tcPr>
          <w:p w14:paraId="11F29EB4" w14:textId="77777777" w:rsidR="000A3AE1" w:rsidRDefault="000A3AE1" w:rsidP="0037122C">
            <w:pPr>
              <w:pStyle w:val="ATTANNLV1-ASDEFCON"/>
              <w:keepNext w:val="0"/>
            </w:pPr>
          </w:p>
        </w:tc>
        <w:tc>
          <w:tcPr>
            <w:tcW w:w="6237" w:type="dxa"/>
          </w:tcPr>
          <w:p w14:paraId="2024226C" w14:textId="3331C205" w:rsidR="000A3AE1" w:rsidRDefault="00223E14" w:rsidP="00E938CA">
            <w:pPr>
              <w:pStyle w:val="Table10ptText-ASDEFCON"/>
            </w:pPr>
            <w:r>
              <w:t>Have the sustainment-related DRAICs and other applicable AIAs</w:t>
            </w:r>
            <w:r w:rsidRPr="00AF7B3B">
              <w:t xml:space="preserve"> </w:t>
            </w:r>
            <w:r>
              <w:t>(including any that have a dual acquisition and sustainment function) been programmed for incorporation into the</w:t>
            </w:r>
            <w:r w:rsidRPr="005F7DEE">
              <w:t xml:space="preserve"> support environment for the Supplies</w:t>
            </w:r>
            <w:r>
              <w:t xml:space="preserve"> under the Contract (Support)</w:t>
            </w:r>
            <w:r w:rsidR="00B6505C">
              <w:t xml:space="preserve"> (</w:t>
            </w:r>
            <w:proofErr w:type="spellStart"/>
            <w:r w:rsidR="00B6505C">
              <w:t>eg</w:t>
            </w:r>
            <w:proofErr w:type="spellEnd"/>
            <w:r w:rsidR="00B6505C">
              <w:t>, through the applicable Contract (Support) plans)</w:t>
            </w:r>
            <w:r>
              <w:t>?</w:t>
            </w:r>
          </w:p>
          <w:p w14:paraId="4C2922EA" w14:textId="38BBB44C" w:rsidR="00223E14" w:rsidRDefault="00223E14" w:rsidP="00E938CA">
            <w:pPr>
              <w:pStyle w:val="Table10ptText-ASDEFCON"/>
            </w:pPr>
            <w:r>
              <w:t>For any sustainment-related DRAICs and other applicable AIAs that were only partially implemented under the Contract (Acquisition), have the necessary activities to fully implement these Industr</w:t>
            </w:r>
            <w:r w:rsidR="00070FD9">
              <w:t>ial</w:t>
            </w:r>
            <w:r>
              <w:t xml:space="preserve"> Capabilities been programmed into the planning for the Phase In and Ramp Up of the Contract (Support)?</w:t>
            </w:r>
          </w:p>
          <w:p w14:paraId="69FF4EC1" w14:textId="1400A1FA" w:rsidR="00B6505C" w:rsidRDefault="00B6505C" w:rsidP="00E938CA">
            <w:pPr>
              <w:pStyle w:val="Table10ptText-ASDEFCON"/>
            </w:pPr>
            <w:r>
              <w:t>Are the programming requirements for the sustainment-related DRAICs and other applicable AIAs appropriate (in terms of timing) and sufficient (in terms of scope) to ensure that these Industr</w:t>
            </w:r>
            <w:r w:rsidR="00070FD9">
              <w:t>ial</w:t>
            </w:r>
            <w:r>
              <w:t xml:space="preserve"> Capabilities will be available, when required, under the Contract (Support)?</w:t>
            </w:r>
          </w:p>
          <w:p w14:paraId="23BF2A05" w14:textId="7069F193" w:rsidR="00223E14" w:rsidRDefault="00223E14" w:rsidP="00E938CA">
            <w:pPr>
              <w:pStyle w:val="Table10ptText-ASDEFCON"/>
            </w:pPr>
            <w:r>
              <w:t>Have any risks or Issues with incorporating the sustainment-related DRAICs and other applicable AIAs into the support environment under the Contract (Support) been identified and, if so, have risk-mitigation activities been identified and actioned?</w:t>
            </w:r>
          </w:p>
        </w:tc>
        <w:tc>
          <w:tcPr>
            <w:tcW w:w="1275" w:type="dxa"/>
          </w:tcPr>
          <w:p w14:paraId="77BBD85B" w14:textId="71DCECBB" w:rsidR="000A3AE1" w:rsidRDefault="00223E14" w:rsidP="00E938CA">
            <w:pPr>
              <w:pStyle w:val="Table10ptText-ASDEFCON"/>
            </w:pPr>
            <w:r>
              <w:t>Mandatory</w:t>
            </w:r>
          </w:p>
        </w:tc>
      </w:tr>
      <w:tr w:rsidR="000123E2" w14:paraId="5CDCF012" w14:textId="77777777" w:rsidTr="00025819">
        <w:tc>
          <w:tcPr>
            <w:tcW w:w="709" w:type="dxa"/>
          </w:tcPr>
          <w:p w14:paraId="54277A77" w14:textId="77777777" w:rsidR="008A358D" w:rsidRDefault="008A358D" w:rsidP="0037122C">
            <w:pPr>
              <w:pStyle w:val="ATTANNLV1-ASDEFCON"/>
              <w:keepNext w:val="0"/>
            </w:pPr>
          </w:p>
        </w:tc>
        <w:tc>
          <w:tcPr>
            <w:tcW w:w="6237" w:type="dxa"/>
          </w:tcPr>
          <w:p w14:paraId="09920CC3" w14:textId="77777777" w:rsidR="000123E2" w:rsidRDefault="008F3EC9" w:rsidP="00E938CA">
            <w:pPr>
              <w:pStyle w:val="Table10ptText-ASDEFCON"/>
            </w:pPr>
            <w:r>
              <w:t xml:space="preserve">If </w:t>
            </w:r>
            <w:r w:rsidR="000123E2">
              <w:t xml:space="preserve">Contract (Support) management plans have been delivered prior to </w:t>
            </w:r>
            <w:r w:rsidR="00E41770">
              <w:t xml:space="preserve">the </w:t>
            </w:r>
            <w:r w:rsidR="000123E2">
              <w:t>TXRR, are these plans consistent with:</w:t>
            </w:r>
          </w:p>
          <w:p w14:paraId="43004D09" w14:textId="77777777" w:rsidR="000123E2" w:rsidRDefault="000123E2" w:rsidP="00E938CA">
            <w:pPr>
              <w:pStyle w:val="Table10ptText-ASDEFCON"/>
            </w:pPr>
            <w:r>
              <w:t>the SSFBL and the Approved SSDESC; and</w:t>
            </w:r>
          </w:p>
          <w:p w14:paraId="7D9834F2" w14:textId="77777777" w:rsidR="000123E2" w:rsidRDefault="000123E2" w:rsidP="00E938CA">
            <w:pPr>
              <w:pStyle w:val="Table10ptText-ASDEFCON"/>
            </w:pPr>
            <w:r>
              <w:t>Contractor (Acquisition) delivered plans for Support Services, including the SWSP and DISP, as applicable?</w:t>
            </w:r>
          </w:p>
          <w:p w14:paraId="53343095" w14:textId="132CE50B" w:rsidR="000123E2" w:rsidRDefault="0051264C" w:rsidP="00E938CA">
            <w:pPr>
              <w:pStyle w:val="Table10ptText-ASDEFCON"/>
            </w:pPr>
            <w:r>
              <w:t xml:space="preserve">Applicable </w:t>
            </w:r>
            <w:r w:rsidR="000123E2">
              <w:t>Contract (Support) plans include th</w:t>
            </w:r>
            <w:r>
              <w:t>os</w:t>
            </w:r>
            <w:r w:rsidR="000123E2">
              <w:t xml:space="preserve">e </w:t>
            </w:r>
            <w:r w:rsidR="00B2597B">
              <w:t>under</w:t>
            </w:r>
            <w:r>
              <w:t xml:space="preserve"> clause </w:t>
            </w:r>
            <w:r>
              <w:fldChar w:fldCharType="begin"/>
            </w:r>
            <w:r>
              <w:instrText xml:space="preserve"> REF _Ref411330335 \r \h </w:instrText>
            </w:r>
            <w:r w:rsidR="0037122C">
              <w:instrText xml:space="preserve"> \* MERGEFORMAT </w:instrText>
            </w:r>
            <w:r>
              <w:fldChar w:fldCharType="separate"/>
            </w:r>
            <w:r w:rsidR="009F7702">
              <w:t>4.3</w:t>
            </w:r>
            <w:r>
              <w:fldChar w:fldCharType="end"/>
            </w:r>
            <w:r w:rsidR="00EC23C0">
              <w:t>, as required by the Contract (Support) CDRL</w:t>
            </w:r>
            <w:r w:rsidR="000123E2">
              <w:t>.</w:t>
            </w:r>
          </w:p>
        </w:tc>
        <w:tc>
          <w:tcPr>
            <w:tcW w:w="1275" w:type="dxa"/>
          </w:tcPr>
          <w:p w14:paraId="1438A9F6" w14:textId="77777777" w:rsidR="000123E2" w:rsidRDefault="000123E2" w:rsidP="00E938CA">
            <w:pPr>
              <w:pStyle w:val="Table10ptText-ASDEFCON"/>
            </w:pPr>
            <w:r>
              <w:t>Highly Desirable</w:t>
            </w:r>
          </w:p>
        </w:tc>
      </w:tr>
      <w:tr w:rsidR="009C1512" w14:paraId="44840E2D" w14:textId="77777777" w:rsidTr="00025819">
        <w:tc>
          <w:tcPr>
            <w:tcW w:w="709" w:type="dxa"/>
          </w:tcPr>
          <w:p w14:paraId="22F2DB1A" w14:textId="77777777" w:rsidR="008A358D" w:rsidRDefault="008A358D" w:rsidP="0037122C">
            <w:pPr>
              <w:pStyle w:val="ATTANNLV1-ASDEFCON"/>
              <w:keepNext w:val="0"/>
            </w:pPr>
          </w:p>
        </w:tc>
        <w:tc>
          <w:tcPr>
            <w:tcW w:w="6237" w:type="dxa"/>
          </w:tcPr>
          <w:p w14:paraId="59CC31E3" w14:textId="77777777" w:rsidR="009C1512" w:rsidRDefault="00A8129F" w:rsidP="00E938CA">
            <w:pPr>
              <w:pStyle w:val="Table10ptText-ASDEFCON"/>
            </w:pPr>
            <w:r>
              <w:t xml:space="preserve">Have </w:t>
            </w:r>
            <w:r w:rsidR="009C1512">
              <w:t>all of the Facilities</w:t>
            </w:r>
            <w:r w:rsidR="00A66AD0">
              <w:t>,</w:t>
            </w:r>
            <w:r w:rsidR="009C1512">
              <w:t xml:space="preserve"> to be used by the Commonwealth and </w:t>
            </w:r>
            <w:r w:rsidR="00B2082E">
              <w:t xml:space="preserve">the </w:t>
            </w:r>
            <w:r w:rsidR="009C1512">
              <w:t>Contractor (Support) for the provision of in-service support</w:t>
            </w:r>
            <w:r w:rsidR="00A66AD0">
              <w:t>,</w:t>
            </w:r>
            <w:r w:rsidR="009C1512">
              <w:t xml:space="preserve"> </w:t>
            </w:r>
            <w:r>
              <w:t xml:space="preserve">been </w:t>
            </w:r>
            <w:r w:rsidR="009C1512">
              <w:t>identified?</w:t>
            </w:r>
          </w:p>
          <w:p w14:paraId="09A2A936" w14:textId="77777777" w:rsidR="009C1512" w:rsidRDefault="009C1512" w:rsidP="00E938CA">
            <w:pPr>
              <w:pStyle w:val="Table10ptText-ASDEFCON"/>
            </w:pPr>
            <w:r>
              <w:t xml:space="preserve">Are Facilities and site installation works being undertaken by the Commonwealth, Contractor (Acquisition) and/or Contractor (Support) </w:t>
            </w:r>
            <w:r w:rsidR="002551CD">
              <w:t>progressing sufficiently to meet</w:t>
            </w:r>
            <w:r>
              <w:t xml:space="preserve"> Transition and Phase In </w:t>
            </w:r>
            <w:r w:rsidR="000E57FD">
              <w:t>and</w:t>
            </w:r>
            <w:r w:rsidR="002551CD">
              <w:t xml:space="preserve"> Ramp Up </w:t>
            </w:r>
            <w:r>
              <w:t>schedules</w:t>
            </w:r>
            <w:r w:rsidR="002551CD">
              <w:t xml:space="preserve"> or are </w:t>
            </w:r>
            <w:r w:rsidR="000E6C80">
              <w:t>plans</w:t>
            </w:r>
            <w:r w:rsidR="002551CD">
              <w:t xml:space="preserve"> in place to address </w:t>
            </w:r>
            <w:r w:rsidR="00A66AD0">
              <w:t xml:space="preserve">any </w:t>
            </w:r>
            <w:r w:rsidR="00EC23C0">
              <w:t>anticipated</w:t>
            </w:r>
            <w:r w:rsidR="002551CD">
              <w:t xml:space="preserve"> delays</w:t>
            </w:r>
            <w:r>
              <w:t>?</w:t>
            </w:r>
          </w:p>
        </w:tc>
        <w:tc>
          <w:tcPr>
            <w:tcW w:w="1275" w:type="dxa"/>
          </w:tcPr>
          <w:p w14:paraId="404224A1" w14:textId="77777777" w:rsidR="009C1512" w:rsidRDefault="009C1512" w:rsidP="00E938CA">
            <w:pPr>
              <w:pStyle w:val="Table10ptText-ASDEFCON"/>
            </w:pPr>
            <w:r>
              <w:t>Mandatory</w:t>
            </w:r>
          </w:p>
        </w:tc>
      </w:tr>
      <w:tr w:rsidR="009C1512" w14:paraId="466E62F5" w14:textId="77777777" w:rsidTr="00025819">
        <w:tc>
          <w:tcPr>
            <w:tcW w:w="709" w:type="dxa"/>
          </w:tcPr>
          <w:p w14:paraId="1920BE73" w14:textId="77777777" w:rsidR="009C1512" w:rsidRDefault="009C1512" w:rsidP="0037122C">
            <w:pPr>
              <w:pStyle w:val="ATTANNLV1-ASDEFCON"/>
              <w:keepNext w:val="0"/>
            </w:pPr>
          </w:p>
        </w:tc>
        <w:tc>
          <w:tcPr>
            <w:tcW w:w="6237" w:type="dxa"/>
          </w:tcPr>
          <w:p w14:paraId="1836FD0C" w14:textId="77777777" w:rsidR="009C1512" w:rsidRDefault="009C1512" w:rsidP="00E938CA">
            <w:pPr>
              <w:pStyle w:val="Table10ptText-ASDEFCON"/>
            </w:pPr>
            <w:r>
              <w:t xml:space="preserve">Have the </w:t>
            </w:r>
            <w:r w:rsidR="006E24C3">
              <w:t xml:space="preserve">schedule and </w:t>
            </w:r>
            <w:r>
              <w:t xml:space="preserve">management requirements for the </w:t>
            </w:r>
            <w:r w:rsidR="0062057B">
              <w:t>delivery</w:t>
            </w:r>
            <w:r w:rsidR="00825CC2">
              <w:t xml:space="preserve"> </w:t>
            </w:r>
            <w:r>
              <w:t>of Supplies</w:t>
            </w:r>
            <w:r w:rsidR="006E24C3">
              <w:t xml:space="preserve"> </w:t>
            </w:r>
            <w:r>
              <w:t>to the Commonwealth and</w:t>
            </w:r>
            <w:r w:rsidR="006E24C3">
              <w:t xml:space="preserve"> </w:t>
            </w:r>
            <w:r w:rsidR="000E6C80">
              <w:t>Contractor (Support)</w:t>
            </w:r>
            <w:r w:rsidR="006E24C3">
              <w:t>, as applicable,</w:t>
            </w:r>
            <w:r>
              <w:t xml:space="preserve"> been defined</w:t>
            </w:r>
            <w:r w:rsidR="0062057B">
              <w:t xml:space="preserve"> by the CTXP</w:t>
            </w:r>
            <w:r>
              <w:t xml:space="preserve">? </w:t>
            </w:r>
          </w:p>
          <w:p w14:paraId="109682D7" w14:textId="77777777" w:rsidR="009C1512" w:rsidRDefault="009C1512" w:rsidP="00E938CA">
            <w:pPr>
              <w:pStyle w:val="Table10ptText-ASDEFCON"/>
            </w:pPr>
            <w:r>
              <w:t>Applicable management requirements include delivery locations, receipting, record keeping and processes for reporting progress</w:t>
            </w:r>
            <w:r w:rsidR="00AD41B3">
              <w:t>.</w:t>
            </w:r>
          </w:p>
        </w:tc>
        <w:tc>
          <w:tcPr>
            <w:tcW w:w="1275" w:type="dxa"/>
          </w:tcPr>
          <w:p w14:paraId="79261E89" w14:textId="77777777" w:rsidR="009C1512" w:rsidRDefault="009C1512" w:rsidP="00E938CA">
            <w:pPr>
              <w:pStyle w:val="Table10ptText-ASDEFCON"/>
            </w:pPr>
            <w:r>
              <w:t>Mandatory</w:t>
            </w:r>
          </w:p>
        </w:tc>
      </w:tr>
      <w:tr w:rsidR="00EC6D06" w14:paraId="0FE03548" w14:textId="77777777" w:rsidTr="00797AB1">
        <w:tc>
          <w:tcPr>
            <w:tcW w:w="709" w:type="dxa"/>
          </w:tcPr>
          <w:p w14:paraId="13D72E25" w14:textId="77777777" w:rsidR="00EC6D06" w:rsidRDefault="00EC6D06" w:rsidP="0037122C">
            <w:pPr>
              <w:pStyle w:val="ATTANNLV1-ASDEFCON"/>
              <w:keepNext w:val="0"/>
            </w:pPr>
          </w:p>
        </w:tc>
        <w:tc>
          <w:tcPr>
            <w:tcW w:w="6237" w:type="dxa"/>
          </w:tcPr>
          <w:p w14:paraId="4111EC73" w14:textId="77777777" w:rsidR="00EC6D06" w:rsidRDefault="00EC6D06" w:rsidP="00E938CA">
            <w:pPr>
              <w:pStyle w:val="Table10ptText-ASDEFCON"/>
            </w:pPr>
            <w:r>
              <w:t>Have Transition</w:t>
            </w:r>
            <w:r w:rsidR="00825CC2">
              <w:t>,</w:t>
            </w:r>
            <w:r>
              <w:t xml:space="preserve"> Phase In and</w:t>
            </w:r>
            <w:r w:rsidR="00825CC2">
              <w:t xml:space="preserve"> </w:t>
            </w:r>
            <w:r w:rsidR="00130728">
              <w:t>Ramp U</w:t>
            </w:r>
            <w:r>
              <w:t xml:space="preserve">p </w:t>
            </w:r>
            <w:r w:rsidR="00F73B09">
              <w:t>activities</w:t>
            </w:r>
            <w:r>
              <w:t xml:space="preserve"> been defined and scheduled consistent with </w:t>
            </w:r>
            <w:r w:rsidR="00A5546D">
              <w:t xml:space="preserve">the </w:t>
            </w:r>
            <w:r>
              <w:t>Contract (Acquisition) V&amp;V program</w:t>
            </w:r>
            <w:r w:rsidR="00130728">
              <w:t>, including</w:t>
            </w:r>
            <w:r w:rsidR="00825CC2">
              <w:t xml:space="preserve"> any</w:t>
            </w:r>
            <w:r>
              <w:t xml:space="preserve"> </w:t>
            </w:r>
            <w:r w:rsidR="00045FD8">
              <w:t xml:space="preserve">involvement </w:t>
            </w:r>
            <w:r w:rsidR="00DE4432">
              <w:t>by</w:t>
            </w:r>
            <w:r w:rsidR="00045FD8">
              <w:t xml:space="preserve"> the </w:t>
            </w:r>
            <w:r>
              <w:t>Contractor (Support) and Approved Subcontractor</w:t>
            </w:r>
            <w:r w:rsidR="00A265BD">
              <w:t>s</w:t>
            </w:r>
            <w:r>
              <w:t xml:space="preserve"> (Support)</w:t>
            </w:r>
            <w:r w:rsidR="00DE4432">
              <w:t xml:space="preserve"> in V&amp;V activities</w:t>
            </w:r>
            <w:r w:rsidR="00045FD8">
              <w:t>?</w:t>
            </w:r>
          </w:p>
          <w:p w14:paraId="67A8DBA8" w14:textId="77777777" w:rsidR="00F61382" w:rsidRDefault="00F61382" w:rsidP="00E938CA">
            <w:pPr>
              <w:pStyle w:val="Table10ptText-ASDEFCON"/>
            </w:pPr>
            <w:r>
              <w:t>Are the activities in the CTXP, PHIP and RUMP plans scheduled consistent with the Contract (Acquisition) and Contract (Support) Milestones, including inter-related and concurrent Milestones?</w:t>
            </w:r>
          </w:p>
        </w:tc>
        <w:tc>
          <w:tcPr>
            <w:tcW w:w="1275" w:type="dxa"/>
          </w:tcPr>
          <w:p w14:paraId="53FF9ABD" w14:textId="77777777" w:rsidR="00EC6D06" w:rsidRDefault="00EC6D06" w:rsidP="00E938CA">
            <w:pPr>
              <w:pStyle w:val="Table10ptText-ASDEFCON"/>
            </w:pPr>
            <w:r>
              <w:t>Highly Desirable</w:t>
            </w:r>
          </w:p>
        </w:tc>
      </w:tr>
      <w:tr w:rsidR="009C1512" w14:paraId="31927560" w14:textId="77777777" w:rsidTr="00025819">
        <w:tc>
          <w:tcPr>
            <w:tcW w:w="709" w:type="dxa"/>
          </w:tcPr>
          <w:p w14:paraId="2768BEDC" w14:textId="77777777" w:rsidR="009C1512" w:rsidRDefault="009C1512" w:rsidP="0037122C">
            <w:pPr>
              <w:pStyle w:val="ATTANNLV1-ASDEFCON"/>
              <w:keepNext w:val="0"/>
            </w:pPr>
          </w:p>
        </w:tc>
        <w:tc>
          <w:tcPr>
            <w:tcW w:w="6237" w:type="dxa"/>
          </w:tcPr>
          <w:p w14:paraId="786EBE22" w14:textId="77777777" w:rsidR="009C1512" w:rsidRDefault="009C1512" w:rsidP="00E938CA">
            <w:pPr>
              <w:pStyle w:val="Table10ptText-ASDEFCON"/>
            </w:pPr>
            <w:r>
              <w:t>Are the CTXP and related Contract (Acquisition) plans consistent with the identified requirements and responsibilities for Transition?</w:t>
            </w:r>
          </w:p>
        </w:tc>
        <w:tc>
          <w:tcPr>
            <w:tcW w:w="1275" w:type="dxa"/>
          </w:tcPr>
          <w:p w14:paraId="4B8111BE" w14:textId="77777777" w:rsidR="009C1512" w:rsidRDefault="009C1512" w:rsidP="00E938CA">
            <w:pPr>
              <w:pStyle w:val="Table10ptText-ASDEFCON"/>
            </w:pPr>
            <w:r>
              <w:t>Mandatory</w:t>
            </w:r>
          </w:p>
        </w:tc>
      </w:tr>
      <w:tr w:rsidR="009C1512" w14:paraId="0C8AD578" w14:textId="77777777" w:rsidTr="00025819">
        <w:tc>
          <w:tcPr>
            <w:tcW w:w="709" w:type="dxa"/>
          </w:tcPr>
          <w:p w14:paraId="5AADA510" w14:textId="77777777" w:rsidR="009C1512" w:rsidRDefault="009C1512" w:rsidP="0037122C">
            <w:pPr>
              <w:pStyle w:val="ATTANNLV1-ASDEFCON"/>
              <w:keepNext w:val="0"/>
            </w:pPr>
          </w:p>
        </w:tc>
        <w:tc>
          <w:tcPr>
            <w:tcW w:w="6237" w:type="dxa"/>
          </w:tcPr>
          <w:p w14:paraId="52A231B3" w14:textId="77777777" w:rsidR="009C1512" w:rsidRDefault="009C1512" w:rsidP="00E938CA">
            <w:pPr>
              <w:pStyle w:val="Table10ptText-ASDEFCON"/>
            </w:pPr>
            <w:r>
              <w:t>Are the PHIP</w:t>
            </w:r>
            <w:r w:rsidR="00A265BD">
              <w:t>, RUMP</w:t>
            </w:r>
            <w:r>
              <w:t xml:space="preserve"> and related Contract (Support) plans consistent with the identified requirements and responsibilities for Phase In</w:t>
            </w:r>
            <w:r w:rsidR="00A265BD">
              <w:t xml:space="preserve"> and Ramp Up</w:t>
            </w:r>
            <w:r>
              <w:t>?</w:t>
            </w:r>
          </w:p>
        </w:tc>
        <w:tc>
          <w:tcPr>
            <w:tcW w:w="1275" w:type="dxa"/>
          </w:tcPr>
          <w:p w14:paraId="33598688" w14:textId="77777777" w:rsidR="009C1512" w:rsidRDefault="009C1512" w:rsidP="00E938CA">
            <w:pPr>
              <w:pStyle w:val="Table10ptText-ASDEFCON"/>
            </w:pPr>
            <w:r>
              <w:t>Mandatory</w:t>
            </w:r>
          </w:p>
        </w:tc>
      </w:tr>
      <w:tr w:rsidR="009C1512" w14:paraId="1B16FAB8" w14:textId="77777777" w:rsidTr="00025819">
        <w:tc>
          <w:tcPr>
            <w:tcW w:w="709" w:type="dxa"/>
          </w:tcPr>
          <w:p w14:paraId="452C09B3" w14:textId="77777777" w:rsidR="009C1512" w:rsidRDefault="009C1512" w:rsidP="0037122C">
            <w:pPr>
              <w:pStyle w:val="ATTANNLV1-ASDEFCON"/>
              <w:keepNext w:val="0"/>
            </w:pPr>
          </w:p>
        </w:tc>
        <w:tc>
          <w:tcPr>
            <w:tcW w:w="6237" w:type="dxa"/>
          </w:tcPr>
          <w:p w14:paraId="457CFF34" w14:textId="77777777" w:rsidR="009C1512" w:rsidRDefault="009C1512" w:rsidP="00E938CA">
            <w:pPr>
              <w:pStyle w:val="Table10ptText-ASDEFCON"/>
            </w:pPr>
            <w:r>
              <w:t>Are the CTXP</w:t>
            </w:r>
            <w:r w:rsidR="00A265BD">
              <w:t>, SIP,</w:t>
            </w:r>
            <w:r>
              <w:t xml:space="preserve"> PHIP</w:t>
            </w:r>
            <w:r w:rsidR="00A265BD">
              <w:t xml:space="preserve"> and RUMP</w:t>
            </w:r>
            <w:r>
              <w:t xml:space="preserve"> harmonised?</w:t>
            </w:r>
          </w:p>
        </w:tc>
        <w:tc>
          <w:tcPr>
            <w:tcW w:w="1275" w:type="dxa"/>
          </w:tcPr>
          <w:p w14:paraId="67574C4C" w14:textId="77777777" w:rsidR="009C1512" w:rsidRDefault="009C1512" w:rsidP="00E938CA">
            <w:pPr>
              <w:pStyle w:val="Table10ptText-ASDEFCON"/>
            </w:pPr>
            <w:r>
              <w:t>Mandatory</w:t>
            </w:r>
          </w:p>
        </w:tc>
      </w:tr>
      <w:tr w:rsidR="009C1512" w14:paraId="49B9C2EE" w14:textId="77777777" w:rsidTr="00025819">
        <w:tc>
          <w:tcPr>
            <w:tcW w:w="709" w:type="dxa"/>
          </w:tcPr>
          <w:p w14:paraId="5B9D2907" w14:textId="77777777" w:rsidR="009C1512" w:rsidRDefault="009C1512" w:rsidP="0037122C">
            <w:pPr>
              <w:pStyle w:val="ATTANNLV1-ASDEFCON"/>
              <w:keepNext w:val="0"/>
            </w:pPr>
          </w:p>
        </w:tc>
        <w:tc>
          <w:tcPr>
            <w:tcW w:w="6237" w:type="dxa"/>
          </w:tcPr>
          <w:p w14:paraId="373BD69F" w14:textId="77777777" w:rsidR="009C1512" w:rsidRDefault="009C1512" w:rsidP="00E938CA">
            <w:pPr>
              <w:pStyle w:val="Table10ptText-ASDEFCON"/>
            </w:pPr>
            <w:r>
              <w:t xml:space="preserve">Has the schedule for </w:t>
            </w:r>
            <w:r w:rsidR="001D03EB">
              <w:t xml:space="preserve">the </w:t>
            </w:r>
            <w:r>
              <w:t>transfer of responsibilities</w:t>
            </w:r>
            <w:r w:rsidR="00DE4432">
              <w:t xml:space="preserve"> from the Contractor (Acquisition) to the Commonwealth</w:t>
            </w:r>
            <w:r w:rsidR="000E6C80">
              <w:t xml:space="preserve"> and</w:t>
            </w:r>
            <w:r w:rsidR="00DE4432">
              <w:t xml:space="preserve"> </w:t>
            </w:r>
            <w:r w:rsidR="007477C1">
              <w:t xml:space="preserve">to the </w:t>
            </w:r>
            <w:r w:rsidR="00DE4432">
              <w:t>Contractor (Support), as applicable, been defined</w:t>
            </w:r>
            <w:r w:rsidR="000E6C80">
              <w:t xml:space="preserve"> </w:t>
            </w:r>
            <w:r w:rsidR="00D445B0">
              <w:t>in</w:t>
            </w:r>
            <w:r w:rsidR="0062057B">
              <w:t xml:space="preserve"> the CTXP</w:t>
            </w:r>
            <w:r>
              <w:t>?</w:t>
            </w:r>
          </w:p>
          <w:p w14:paraId="0DA56CE1" w14:textId="55090D6C" w:rsidR="000E6C80" w:rsidRDefault="000E6C80" w:rsidP="00E938CA">
            <w:pPr>
              <w:pStyle w:val="Table10ptText-ASDEFCON"/>
            </w:pPr>
            <w:r>
              <w:t xml:space="preserve">Applicable responsibilities may </w:t>
            </w:r>
            <w:r w:rsidR="007477C1">
              <w:t>include those for</w:t>
            </w:r>
            <w:r>
              <w:t xml:space="preserve"> </w:t>
            </w:r>
            <w:r w:rsidR="007477C1">
              <w:t xml:space="preserve">Configuration Control, item management, Technical Data update, </w:t>
            </w:r>
            <w:r>
              <w:t>and so on.</w:t>
            </w:r>
          </w:p>
        </w:tc>
        <w:tc>
          <w:tcPr>
            <w:tcW w:w="1275" w:type="dxa"/>
          </w:tcPr>
          <w:p w14:paraId="1E4EA26C" w14:textId="77777777" w:rsidR="009C1512" w:rsidRDefault="009C1512" w:rsidP="00E938CA">
            <w:pPr>
              <w:pStyle w:val="Table10ptText-ASDEFCON"/>
            </w:pPr>
            <w:r>
              <w:t>Mandatory</w:t>
            </w:r>
          </w:p>
        </w:tc>
      </w:tr>
      <w:tr w:rsidR="009C1512" w14:paraId="33CA6CFD" w14:textId="77777777" w:rsidTr="00025819">
        <w:tc>
          <w:tcPr>
            <w:tcW w:w="709" w:type="dxa"/>
          </w:tcPr>
          <w:p w14:paraId="7677F90D" w14:textId="77777777" w:rsidR="009C1512" w:rsidRDefault="009C1512" w:rsidP="0037122C">
            <w:pPr>
              <w:pStyle w:val="ATTANNLV1-ASDEFCON"/>
              <w:keepNext w:val="0"/>
            </w:pPr>
          </w:p>
        </w:tc>
        <w:tc>
          <w:tcPr>
            <w:tcW w:w="6237" w:type="dxa"/>
          </w:tcPr>
          <w:p w14:paraId="739A6AB2" w14:textId="77777777" w:rsidR="009C1512" w:rsidRDefault="009C1512" w:rsidP="00E938CA">
            <w:pPr>
              <w:pStyle w:val="Table10ptText-ASDEFCON"/>
            </w:pPr>
            <w:r>
              <w:t xml:space="preserve">Has the schedule for the receipt and implementation of Supplies / </w:t>
            </w:r>
            <w:r w:rsidR="003B6897">
              <w:t>Products</w:t>
            </w:r>
            <w:r w:rsidR="007477C1">
              <w:t>, GFM</w:t>
            </w:r>
            <w:r w:rsidR="003B6897">
              <w:t xml:space="preserve"> </w:t>
            </w:r>
            <w:r>
              <w:t xml:space="preserve">and </w:t>
            </w:r>
            <w:r w:rsidR="003B6897">
              <w:t xml:space="preserve">for the </w:t>
            </w:r>
            <w:r>
              <w:t>transfer of responsibilities</w:t>
            </w:r>
            <w:r w:rsidR="003B6897">
              <w:t>, been defined in Contract (Support) plans</w:t>
            </w:r>
            <w:r>
              <w:t>?</w:t>
            </w:r>
          </w:p>
        </w:tc>
        <w:tc>
          <w:tcPr>
            <w:tcW w:w="1275" w:type="dxa"/>
          </w:tcPr>
          <w:p w14:paraId="05FC1BFD" w14:textId="77777777" w:rsidR="009C1512" w:rsidRDefault="009C1512" w:rsidP="00E938CA">
            <w:pPr>
              <w:pStyle w:val="Table10ptText-ASDEFCON"/>
            </w:pPr>
            <w:r>
              <w:t>Highly Desirable</w:t>
            </w:r>
          </w:p>
        </w:tc>
      </w:tr>
      <w:tr w:rsidR="009C1512" w14:paraId="151C3B59" w14:textId="77777777" w:rsidTr="00025819">
        <w:tc>
          <w:tcPr>
            <w:tcW w:w="709" w:type="dxa"/>
          </w:tcPr>
          <w:p w14:paraId="77C3E299" w14:textId="77777777" w:rsidR="008A358D" w:rsidRDefault="008A358D" w:rsidP="0037122C">
            <w:pPr>
              <w:pStyle w:val="ATTANNLV1-ASDEFCON"/>
              <w:keepNext w:val="0"/>
            </w:pPr>
          </w:p>
        </w:tc>
        <w:tc>
          <w:tcPr>
            <w:tcW w:w="6237" w:type="dxa"/>
          </w:tcPr>
          <w:p w14:paraId="30D90CBB" w14:textId="77777777" w:rsidR="009C1512" w:rsidRDefault="009C1512" w:rsidP="00E938CA">
            <w:pPr>
              <w:pStyle w:val="Table10ptText-ASDEFCON"/>
            </w:pPr>
            <w:r>
              <w:t xml:space="preserve">Have all </w:t>
            </w:r>
            <w:r w:rsidR="00E41770">
              <w:t xml:space="preserve">identified </w:t>
            </w:r>
            <w:r>
              <w:t>Contract (Acquisition) Transition risks been reported against?</w:t>
            </w:r>
          </w:p>
        </w:tc>
        <w:tc>
          <w:tcPr>
            <w:tcW w:w="1275" w:type="dxa"/>
          </w:tcPr>
          <w:p w14:paraId="11CA333C" w14:textId="77777777" w:rsidR="009C1512" w:rsidRDefault="009C1512" w:rsidP="00E938CA">
            <w:pPr>
              <w:pStyle w:val="Table10ptText-ASDEFCON"/>
            </w:pPr>
            <w:r>
              <w:t>Mandatory</w:t>
            </w:r>
          </w:p>
        </w:tc>
      </w:tr>
      <w:tr w:rsidR="009C1512" w14:paraId="028AA7B8" w14:textId="77777777" w:rsidTr="00025819">
        <w:tc>
          <w:tcPr>
            <w:tcW w:w="709" w:type="dxa"/>
          </w:tcPr>
          <w:p w14:paraId="771D81CC" w14:textId="77777777" w:rsidR="008A358D" w:rsidRDefault="008A358D" w:rsidP="0037122C">
            <w:pPr>
              <w:pStyle w:val="ATTANNLV1-ASDEFCON"/>
              <w:keepNext w:val="0"/>
            </w:pPr>
          </w:p>
        </w:tc>
        <w:tc>
          <w:tcPr>
            <w:tcW w:w="6237" w:type="dxa"/>
          </w:tcPr>
          <w:p w14:paraId="42095F5A" w14:textId="77777777" w:rsidR="009C1512" w:rsidRDefault="009C1512" w:rsidP="00E938CA">
            <w:pPr>
              <w:pStyle w:val="Table10ptText-ASDEFCON"/>
            </w:pPr>
            <w:r>
              <w:t xml:space="preserve">Have all </w:t>
            </w:r>
            <w:r w:rsidR="00E41770">
              <w:t xml:space="preserve">identified </w:t>
            </w:r>
            <w:r>
              <w:t xml:space="preserve">Contract (Support) Phase In </w:t>
            </w:r>
            <w:r w:rsidR="007057E1">
              <w:t xml:space="preserve">and Ramp Up </w:t>
            </w:r>
            <w:r>
              <w:t>risks been reported against?</w:t>
            </w:r>
          </w:p>
        </w:tc>
        <w:tc>
          <w:tcPr>
            <w:tcW w:w="1275" w:type="dxa"/>
          </w:tcPr>
          <w:p w14:paraId="7C9BDD6D" w14:textId="77777777" w:rsidR="009C1512" w:rsidRDefault="009C1512" w:rsidP="00E938CA">
            <w:pPr>
              <w:pStyle w:val="Table10ptText-ASDEFCON"/>
            </w:pPr>
            <w:r>
              <w:t>Mandatory</w:t>
            </w:r>
          </w:p>
        </w:tc>
      </w:tr>
      <w:tr w:rsidR="009C1512" w14:paraId="1053A4AD" w14:textId="77777777" w:rsidTr="00025819">
        <w:tc>
          <w:tcPr>
            <w:tcW w:w="709" w:type="dxa"/>
          </w:tcPr>
          <w:p w14:paraId="1C5100E8" w14:textId="77777777" w:rsidR="009C1512" w:rsidRDefault="009C1512" w:rsidP="0037122C">
            <w:pPr>
              <w:pStyle w:val="ATTANNLV1-ASDEFCON"/>
              <w:keepNext w:val="0"/>
            </w:pPr>
          </w:p>
        </w:tc>
        <w:tc>
          <w:tcPr>
            <w:tcW w:w="6237" w:type="dxa"/>
          </w:tcPr>
          <w:p w14:paraId="6A9C8D90" w14:textId="77777777" w:rsidR="009C1512" w:rsidRDefault="009C1512" w:rsidP="00E938CA">
            <w:pPr>
              <w:pStyle w:val="Table10ptText-ASDEFCON"/>
            </w:pPr>
            <w:r>
              <w:t xml:space="preserve">Have future Transition Working Group (TXWG) activities been scheduled and agreed by the Commonwealth Representative, </w:t>
            </w:r>
            <w:r w:rsidR="001D03EB">
              <w:t xml:space="preserve">the </w:t>
            </w:r>
            <w:r>
              <w:t xml:space="preserve">Contractor (Acquisition) and </w:t>
            </w:r>
            <w:r w:rsidR="001D03EB">
              <w:t xml:space="preserve">the </w:t>
            </w:r>
            <w:r>
              <w:t>Contractor (Support)?</w:t>
            </w:r>
          </w:p>
        </w:tc>
        <w:tc>
          <w:tcPr>
            <w:tcW w:w="1275" w:type="dxa"/>
          </w:tcPr>
          <w:p w14:paraId="12EFB085" w14:textId="77777777" w:rsidR="009C1512" w:rsidRDefault="009C1512" w:rsidP="00E938CA">
            <w:pPr>
              <w:pStyle w:val="Table10ptText-ASDEFCON"/>
            </w:pPr>
            <w:r>
              <w:t>Highly Desirable</w:t>
            </w:r>
          </w:p>
        </w:tc>
      </w:tr>
    </w:tbl>
    <w:p w14:paraId="73E149D3" w14:textId="77777777" w:rsidR="002E1109" w:rsidRDefault="002E1109" w:rsidP="00B0247B">
      <w:pPr>
        <w:pStyle w:val="DIDText"/>
        <w:ind w:left="0"/>
      </w:pPr>
    </w:p>
    <w:p w14:paraId="24DA20B6" w14:textId="77777777" w:rsidR="002E1109" w:rsidRDefault="002E1109" w:rsidP="00E938CA">
      <w:pPr>
        <w:pStyle w:val="SOWHL1-ASDEFCON"/>
      </w:pPr>
      <w:r>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5"/>
      </w:tblGrid>
      <w:tr w:rsidR="002E1109" w14:paraId="58A1AC32" w14:textId="77777777">
        <w:trPr>
          <w:cantSplit/>
          <w:tblHeader/>
        </w:trPr>
        <w:tc>
          <w:tcPr>
            <w:tcW w:w="709" w:type="dxa"/>
            <w:shd w:val="pct10" w:color="auto" w:fill="FFFFFF"/>
          </w:tcPr>
          <w:p w14:paraId="5F259FBC" w14:textId="77777777" w:rsidR="002E1109" w:rsidRDefault="002E1109" w:rsidP="00E938CA">
            <w:pPr>
              <w:pStyle w:val="Table10ptHeading-ASDEFCON"/>
            </w:pPr>
            <w:r>
              <w:t>Item</w:t>
            </w:r>
          </w:p>
        </w:tc>
        <w:tc>
          <w:tcPr>
            <w:tcW w:w="6237" w:type="dxa"/>
            <w:shd w:val="pct10" w:color="auto" w:fill="FFFFFF"/>
          </w:tcPr>
          <w:p w14:paraId="416DE349" w14:textId="77777777" w:rsidR="002E1109" w:rsidRDefault="002E1109" w:rsidP="00E938CA">
            <w:pPr>
              <w:pStyle w:val="Table10ptHeading-ASDEFCON"/>
            </w:pPr>
            <w:r>
              <w:t>Exit Criteria</w:t>
            </w:r>
          </w:p>
        </w:tc>
        <w:tc>
          <w:tcPr>
            <w:tcW w:w="1275" w:type="dxa"/>
            <w:shd w:val="pct10" w:color="auto" w:fill="FFFFFF"/>
          </w:tcPr>
          <w:p w14:paraId="2FB54841" w14:textId="77777777" w:rsidR="002E1109" w:rsidRDefault="002E1109" w:rsidP="00E938CA">
            <w:pPr>
              <w:pStyle w:val="Table10ptHeading-ASDEFCON"/>
            </w:pPr>
            <w:r>
              <w:t>Status</w:t>
            </w:r>
          </w:p>
        </w:tc>
      </w:tr>
      <w:tr w:rsidR="002E1109" w14:paraId="71711291" w14:textId="77777777">
        <w:trPr>
          <w:cantSplit/>
        </w:trPr>
        <w:tc>
          <w:tcPr>
            <w:tcW w:w="709" w:type="dxa"/>
          </w:tcPr>
          <w:p w14:paraId="4D57D80C" w14:textId="77777777" w:rsidR="002E1109" w:rsidRDefault="002E1109" w:rsidP="00D2284F">
            <w:pPr>
              <w:pStyle w:val="ATTANNLV1-ASDEFCON"/>
              <w:keepNext w:val="0"/>
              <w:numPr>
                <w:ilvl w:val="0"/>
                <w:numId w:val="28"/>
              </w:numPr>
            </w:pPr>
          </w:p>
        </w:tc>
        <w:tc>
          <w:tcPr>
            <w:tcW w:w="6237" w:type="dxa"/>
          </w:tcPr>
          <w:p w14:paraId="3E08350D" w14:textId="77777777" w:rsidR="002E1109" w:rsidRDefault="002E1109" w:rsidP="00E938CA">
            <w:pPr>
              <w:pStyle w:val="Table10ptText-ASDEFCON"/>
            </w:pPr>
            <w:r>
              <w:t>All checklist items have been addressed to the satisfaction of the Contractor (Acquisition) and the Commonwealth Representative.</w:t>
            </w:r>
          </w:p>
        </w:tc>
        <w:tc>
          <w:tcPr>
            <w:tcW w:w="1275" w:type="dxa"/>
          </w:tcPr>
          <w:p w14:paraId="5BE814C1" w14:textId="77777777" w:rsidR="002E1109" w:rsidRDefault="005849C6" w:rsidP="00E938CA">
            <w:pPr>
              <w:pStyle w:val="Table10ptText-ASDEFCON"/>
            </w:pPr>
            <w:r>
              <w:t>Mandatory</w:t>
            </w:r>
          </w:p>
        </w:tc>
      </w:tr>
      <w:tr w:rsidR="00317F51" w14:paraId="39A5C43A" w14:textId="77777777" w:rsidTr="00AE3B08">
        <w:trPr>
          <w:cantSplit/>
        </w:trPr>
        <w:tc>
          <w:tcPr>
            <w:tcW w:w="709" w:type="dxa"/>
          </w:tcPr>
          <w:p w14:paraId="19E23871" w14:textId="77777777" w:rsidR="00317F51" w:rsidRDefault="00317F51" w:rsidP="003C64BB">
            <w:pPr>
              <w:pStyle w:val="ATTANNLV1-ASDEFCON"/>
              <w:keepNext w:val="0"/>
            </w:pPr>
          </w:p>
        </w:tc>
        <w:tc>
          <w:tcPr>
            <w:tcW w:w="6237" w:type="dxa"/>
          </w:tcPr>
          <w:p w14:paraId="169C12F5" w14:textId="77777777" w:rsidR="00317F51" w:rsidRDefault="00317F51" w:rsidP="00E938CA">
            <w:pPr>
              <w:pStyle w:val="Table10ptText-ASDEFCON"/>
            </w:pPr>
            <w:r>
              <w:t>All major problem and risk areas for Transition have been identified and resolved and, for minor risks, corrective action plans have been recorded and agreed by the Commonwealth Representative.</w:t>
            </w:r>
          </w:p>
        </w:tc>
        <w:tc>
          <w:tcPr>
            <w:tcW w:w="1275" w:type="dxa"/>
          </w:tcPr>
          <w:p w14:paraId="7C8FF48D" w14:textId="77777777" w:rsidR="00317F51" w:rsidRDefault="00317F51" w:rsidP="00E938CA">
            <w:pPr>
              <w:pStyle w:val="Table10ptText-ASDEFCON"/>
            </w:pPr>
            <w:r>
              <w:t>Mandatory</w:t>
            </w:r>
          </w:p>
        </w:tc>
      </w:tr>
      <w:tr w:rsidR="00317F51" w14:paraId="187831FD" w14:textId="77777777" w:rsidTr="00AE3B08">
        <w:trPr>
          <w:cantSplit/>
        </w:trPr>
        <w:tc>
          <w:tcPr>
            <w:tcW w:w="709" w:type="dxa"/>
          </w:tcPr>
          <w:p w14:paraId="2765BA6A" w14:textId="77777777" w:rsidR="00317F51" w:rsidRDefault="00317F51" w:rsidP="003C64BB">
            <w:pPr>
              <w:pStyle w:val="ATTANNLV1-ASDEFCON"/>
              <w:keepNext w:val="0"/>
            </w:pPr>
          </w:p>
        </w:tc>
        <w:tc>
          <w:tcPr>
            <w:tcW w:w="6237" w:type="dxa"/>
          </w:tcPr>
          <w:p w14:paraId="04AD4A14" w14:textId="77777777" w:rsidR="00317F51" w:rsidRDefault="00317F51" w:rsidP="00E938CA">
            <w:pPr>
              <w:pStyle w:val="Table10ptText-ASDEFCON"/>
            </w:pPr>
            <w:r>
              <w:t>All major problem and risk areas for Phase</w:t>
            </w:r>
            <w:r w:rsidR="007057E1">
              <w:t xml:space="preserve"> I</w:t>
            </w:r>
            <w:r>
              <w:t>n</w:t>
            </w:r>
            <w:r w:rsidR="00DB5E40">
              <w:t xml:space="preserve"> and Ramp Up</w:t>
            </w:r>
            <w:r>
              <w:t>, including those related to Transition activities, have been identified and resolved and, for minor risks, corrective action plans have been recorded and agreed by the Commonwealth Representative.</w:t>
            </w:r>
          </w:p>
        </w:tc>
        <w:tc>
          <w:tcPr>
            <w:tcW w:w="1275" w:type="dxa"/>
          </w:tcPr>
          <w:p w14:paraId="06FFA561" w14:textId="77777777" w:rsidR="00317F51" w:rsidRDefault="00317F51" w:rsidP="00E938CA">
            <w:pPr>
              <w:pStyle w:val="Table10ptText-ASDEFCON"/>
            </w:pPr>
            <w:r>
              <w:t>Mandatory</w:t>
            </w:r>
          </w:p>
        </w:tc>
      </w:tr>
      <w:tr w:rsidR="002E1109" w14:paraId="29063623" w14:textId="77777777">
        <w:trPr>
          <w:cantSplit/>
        </w:trPr>
        <w:tc>
          <w:tcPr>
            <w:tcW w:w="709" w:type="dxa"/>
          </w:tcPr>
          <w:p w14:paraId="56226FC8" w14:textId="77777777" w:rsidR="002E1109" w:rsidRDefault="002E1109" w:rsidP="003C64BB">
            <w:pPr>
              <w:pStyle w:val="ATTANNLV1-ASDEFCON"/>
              <w:keepNext w:val="0"/>
            </w:pPr>
          </w:p>
        </w:tc>
        <w:tc>
          <w:tcPr>
            <w:tcW w:w="6237" w:type="dxa"/>
          </w:tcPr>
          <w:p w14:paraId="02272054" w14:textId="7752A98A" w:rsidR="002E1109" w:rsidRDefault="002E1109" w:rsidP="00070FD9">
            <w:pPr>
              <w:pStyle w:val="Table10ptText-ASDEFCON"/>
            </w:pPr>
            <w:r>
              <w:t xml:space="preserve">All significant Support Resources, processes, Services </w:t>
            </w:r>
            <w:r w:rsidR="00B6505C">
              <w:t>and Industr</w:t>
            </w:r>
            <w:r w:rsidR="00070FD9">
              <w:t>ial</w:t>
            </w:r>
            <w:r w:rsidR="00B6505C">
              <w:t xml:space="preserve"> Capabilities (</w:t>
            </w:r>
            <w:proofErr w:type="spellStart"/>
            <w:r w:rsidR="00B6505C">
              <w:t>eg</w:t>
            </w:r>
            <w:proofErr w:type="spellEnd"/>
            <w:r w:rsidR="00B6505C">
              <w:t xml:space="preserve">, DRAICs) </w:t>
            </w:r>
            <w:r>
              <w:t xml:space="preserve">required to be </w:t>
            </w:r>
            <w:r w:rsidR="007057E1">
              <w:t>t</w:t>
            </w:r>
            <w:r w:rsidR="00317F51">
              <w:t xml:space="preserve">ransitioned </w:t>
            </w:r>
            <w:r w:rsidR="00095964">
              <w:t xml:space="preserve">to the support environment </w:t>
            </w:r>
            <w:r>
              <w:t xml:space="preserve">have been identified and agreed by </w:t>
            </w:r>
            <w:r w:rsidR="00317F51">
              <w:t>the Commonwealth Representative</w:t>
            </w:r>
            <w:r>
              <w:t xml:space="preserve"> and Contractor (Acquisition).</w:t>
            </w:r>
          </w:p>
        </w:tc>
        <w:tc>
          <w:tcPr>
            <w:tcW w:w="1275" w:type="dxa"/>
          </w:tcPr>
          <w:p w14:paraId="320FF3BC" w14:textId="77777777" w:rsidR="002E1109" w:rsidRDefault="00317F51" w:rsidP="00E938CA">
            <w:pPr>
              <w:pStyle w:val="Table10ptText-ASDEFCON"/>
            </w:pPr>
            <w:r>
              <w:t>Mandatory</w:t>
            </w:r>
          </w:p>
        </w:tc>
      </w:tr>
      <w:tr w:rsidR="002E1109" w14:paraId="2707251D" w14:textId="77777777">
        <w:trPr>
          <w:cantSplit/>
        </w:trPr>
        <w:tc>
          <w:tcPr>
            <w:tcW w:w="709" w:type="dxa"/>
          </w:tcPr>
          <w:p w14:paraId="6E57A817" w14:textId="77777777" w:rsidR="002E1109" w:rsidRDefault="002E1109" w:rsidP="003C64BB">
            <w:pPr>
              <w:pStyle w:val="ATTANNLV1-ASDEFCON"/>
              <w:keepNext w:val="0"/>
            </w:pPr>
          </w:p>
        </w:tc>
        <w:tc>
          <w:tcPr>
            <w:tcW w:w="6237" w:type="dxa"/>
          </w:tcPr>
          <w:p w14:paraId="33D87038" w14:textId="393F1C67" w:rsidR="002E1109" w:rsidRDefault="002E1109" w:rsidP="00070FD9">
            <w:pPr>
              <w:pStyle w:val="Table10ptText-ASDEFCON"/>
            </w:pPr>
            <w:r>
              <w:t xml:space="preserve">All significant Support Resources, processes, Services </w:t>
            </w:r>
            <w:r w:rsidR="00B6505C">
              <w:t>and Industr</w:t>
            </w:r>
            <w:r w:rsidR="00070FD9">
              <w:t>ial</w:t>
            </w:r>
            <w:r w:rsidR="00B6505C">
              <w:t xml:space="preserve"> Capabilities </w:t>
            </w:r>
            <w:r>
              <w:t>required for Phase</w:t>
            </w:r>
            <w:r w:rsidR="00317F51">
              <w:t xml:space="preserve"> I</w:t>
            </w:r>
            <w:r>
              <w:t xml:space="preserve">n </w:t>
            </w:r>
            <w:r w:rsidR="007057E1">
              <w:t xml:space="preserve">and Ramp Up </w:t>
            </w:r>
            <w:r w:rsidR="00317F51">
              <w:t>of</w:t>
            </w:r>
            <w:r>
              <w:t xml:space="preserve"> the Contract (Support) have been identified, are consistent with Transition, and are agreed by </w:t>
            </w:r>
            <w:r w:rsidR="00317F51">
              <w:t xml:space="preserve">the Commonwealth Representative </w:t>
            </w:r>
            <w:r>
              <w:t>and Contractor (Support).</w:t>
            </w:r>
          </w:p>
        </w:tc>
        <w:tc>
          <w:tcPr>
            <w:tcW w:w="1275" w:type="dxa"/>
          </w:tcPr>
          <w:p w14:paraId="1155E38C" w14:textId="77777777" w:rsidR="002E1109" w:rsidRDefault="00317F51" w:rsidP="00E938CA">
            <w:pPr>
              <w:pStyle w:val="Table10ptText-ASDEFCON"/>
            </w:pPr>
            <w:r>
              <w:t>Mandatory</w:t>
            </w:r>
          </w:p>
        </w:tc>
      </w:tr>
      <w:tr w:rsidR="002E1109" w14:paraId="2F0CDDE1" w14:textId="77777777">
        <w:trPr>
          <w:cantSplit/>
        </w:trPr>
        <w:tc>
          <w:tcPr>
            <w:tcW w:w="709" w:type="dxa"/>
          </w:tcPr>
          <w:p w14:paraId="5827864D" w14:textId="77777777" w:rsidR="002E1109" w:rsidRDefault="002E1109" w:rsidP="003C64BB">
            <w:pPr>
              <w:pStyle w:val="ATTANNLV1-ASDEFCON"/>
              <w:keepNext w:val="0"/>
            </w:pPr>
          </w:p>
        </w:tc>
        <w:tc>
          <w:tcPr>
            <w:tcW w:w="6237" w:type="dxa"/>
          </w:tcPr>
          <w:p w14:paraId="7F581DB9" w14:textId="77777777" w:rsidR="002E1109" w:rsidRDefault="00317F51" w:rsidP="00E938CA">
            <w:pPr>
              <w:pStyle w:val="Table10ptText-ASDEFCON"/>
            </w:pPr>
            <w:r>
              <w:t>All major responsibilities for the Transition activities have been allocated</w:t>
            </w:r>
            <w:r w:rsidR="007057E1">
              <w:t>,</w:t>
            </w:r>
            <w:r>
              <w:t xml:space="preserve"> and the Contractor (Acquisition), S</w:t>
            </w:r>
            <w:r w:rsidR="002E1109">
              <w:t>ubcontractors</w:t>
            </w:r>
            <w:r>
              <w:t xml:space="preserve"> (Acquisition)</w:t>
            </w:r>
            <w:r w:rsidR="002E1109">
              <w:t xml:space="preserve"> and Commonwealth units each understand their applicable Transition responsibilities.</w:t>
            </w:r>
          </w:p>
        </w:tc>
        <w:tc>
          <w:tcPr>
            <w:tcW w:w="1275" w:type="dxa"/>
          </w:tcPr>
          <w:p w14:paraId="727935AB" w14:textId="77777777" w:rsidR="002E1109" w:rsidRDefault="00317F51" w:rsidP="00E938CA">
            <w:pPr>
              <w:pStyle w:val="Table10ptText-ASDEFCON"/>
            </w:pPr>
            <w:r>
              <w:t>Mandatory</w:t>
            </w:r>
          </w:p>
        </w:tc>
      </w:tr>
      <w:tr w:rsidR="00CF218A" w14:paraId="26C645B1" w14:textId="77777777">
        <w:trPr>
          <w:cantSplit/>
        </w:trPr>
        <w:tc>
          <w:tcPr>
            <w:tcW w:w="709" w:type="dxa"/>
          </w:tcPr>
          <w:p w14:paraId="1BA8C4DA" w14:textId="77777777" w:rsidR="00CF218A" w:rsidRDefault="00CF218A" w:rsidP="003C64BB">
            <w:pPr>
              <w:pStyle w:val="ATTANNLV1-ASDEFCON"/>
              <w:keepNext w:val="0"/>
            </w:pPr>
          </w:p>
        </w:tc>
        <w:tc>
          <w:tcPr>
            <w:tcW w:w="6237" w:type="dxa"/>
          </w:tcPr>
          <w:p w14:paraId="349496F1" w14:textId="77777777" w:rsidR="00CF218A" w:rsidRDefault="00CF218A" w:rsidP="00E938CA">
            <w:pPr>
              <w:pStyle w:val="Table10ptText-ASDEFCON"/>
            </w:pPr>
            <w:r>
              <w:t xml:space="preserve">The Commonwealth Representative is satisfied that sufficient information has been provided by the Contractor (Acquisition) and the Contractor (Support) (or further will be provided in updated plans) to enable Commonwealth </w:t>
            </w:r>
            <w:r w:rsidR="00F24053">
              <w:t>organisations</w:t>
            </w:r>
            <w:r>
              <w:t xml:space="preserve"> to plan Commonwealth transition activities, </w:t>
            </w:r>
            <w:r w:rsidR="008F3EC9">
              <w:t xml:space="preserve">for </w:t>
            </w:r>
            <w:r>
              <w:t>th</w:t>
            </w:r>
            <w:r w:rsidR="008F3EC9">
              <w:t xml:space="preserve">ose </w:t>
            </w:r>
            <w:r w:rsidR="00F24053">
              <w:t>activities</w:t>
            </w:r>
            <w:r>
              <w:t xml:space="preserve"> </w:t>
            </w:r>
            <w:r w:rsidR="008F3EC9">
              <w:t xml:space="preserve">that </w:t>
            </w:r>
            <w:r>
              <w:t>interface with or are depend</w:t>
            </w:r>
            <w:r w:rsidR="002B6DE7">
              <w:t>ent</w:t>
            </w:r>
            <w:r>
              <w:t xml:space="preserve"> </w:t>
            </w:r>
            <w:r w:rsidR="00F24053">
              <w:t>up</w:t>
            </w:r>
            <w:r w:rsidR="002B6DE7">
              <w:t>on</w:t>
            </w:r>
            <w:r>
              <w:t xml:space="preserve"> the activities of </w:t>
            </w:r>
            <w:r w:rsidR="00F24053">
              <w:t>the</w:t>
            </w:r>
            <w:r>
              <w:t xml:space="preserve"> contractors.</w:t>
            </w:r>
          </w:p>
        </w:tc>
        <w:tc>
          <w:tcPr>
            <w:tcW w:w="1275" w:type="dxa"/>
          </w:tcPr>
          <w:p w14:paraId="436F7AC9" w14:textId="77777777" w:rsidR="00CF218A" w:rsidRDefault="00CF218A" w:rsidP="00E938CA">
            <w:pPr>
              <w:pStyle w:val="Table10ptText-ASDEFCON"/>
            </w:pPr>
            <w:r>
              <w:t>Mandatory</w:t>
            </w:r>
          </w:p>
        </w:tc>
      </w:tr>
      <w:tr w:rsidR="002E1109" w14:paraId="307BE3D9" w14:textId="77777777">
        <w:trPr>
          <w:cantSplit/>
        </w:trPr>
        <w:tc>
          <w:tcPr>
            <w:tcW w:w="709" w:type="dxa"/>
          </w:tcPr>
          <w:p w14:paraId="1F6C5485" w14:textId="77777777" w:rsidR="002E1109" w:rsidRDefault="002E1109" w:rsidP="003C64BB">
            <w:pPr>
              <w:pStyle w:val="ATTANNLV1-ASDEFCON"/>
              <w:keepNext w:val="0"/>
            </w:pPr>
          </w:p>
        </w:tc>
        <w:tc>
          <w:tcPr>
            <w:tcW w:w="6237" w:type="dxa"/>
          </w:tcPr>
          <w:p w14:paraId="19F33528" w14:textId="77777777" w:rsidR="002E1109" w:rsidRDefault="00317F51" w:rsidP="00E938CA">
            <w:pPr>
              <w:pStyle w:val="Table10ptText-ASDEFCON"/>
            </w:pPr>
            <w:r>
              <w:t xml:space="preserve">All </w:t>
            </w:r>
            <w:r w:rsidR="007057E1">
              <w:t xml:space="preserve">major </w:t>
            </w:r>
            <w:r>
              <w:t xml:space="preserve">responsibilities for Phase In </w:t>
            </w:r>
            <w:r w:rsidR="007057E1">
              <w:t xml:space="preserve">and Ramp Up </w:t>
            </w:r>
            <w:r>
              <w:t>activities have been allocated and the Contractor (Support), S</w:t>
            </w:r>
            <w:r w:rsidR="002E1109">
              <w:t>ubcontractors</w:t>
            </w:r>
            <w:r>
              <w:t xml:space="preserve"> (Support)</w:t>
            </w:r>
            <w:r w:rsidR="002E1109">
              <w:t xml:space="preserve"> and Commonwealth units each un</w:t>
            </w:r>
            <w:r>
              <w:t>derstand their applicable Phase I</w:t>
            </w:r>
            <w:r w:rsidR="002E1109">
              <w:t xml:space="preserve">n </w:t>
            </w:r>
            <w:r w:rsidR="00DB5E40">
              <w:t xml:space="preserve">and Ramp Up </w:t>
            </w:r>
            <w:r w:rsidR="002E1109">
              <w:t>responsibilities.</w:t>
            </w:r>
          </w:p>
        </w:tc>
        <w:tc>
          <w:tcPr>
            <w:tcW w:w="1275" w:type="dxa"/>
          </w:tcPr>
          <w:p w14:paraId="224AF3E9" w14:textId="77777777" w:rsidR="002E1109" w:rsidRDefault="00317F51" w:rsidP="00E938CA">
            <w:pPr>
              <w:pStyle w:val="Table10ptText-ASDEFCON"/>
            </w:pPr>
            <w:r>
              <w:t>Mandatory</w:t>
            </w:r>
          </w:p>
        </w:tc>
      </w:tr>
      <w:tr w:rsidR="002E1109" w14:paraId="395B88BC" w14:textId="77777777">
        <w:trPr>
          <w:cantSplit/>
        </w:trPr>
        <w:tc>
          <w:tcPr>
            <w:tcW w:w="709" w:type="dxa"/>
          </w:tcPr>
          <w:p w14:paraId="1BE0CA22" w14:textId="77777777" w:rsidR="002E1109" w:rsidRDefault="002E1109" w:rsidP="003C64BB">
            <w:pPr>
              <w:pStyle w:val="ATTANNLV1-ASDEFCON"/>
              <w:keepNext w:val="0"/>
            </w:pPr>
          </w:p>
        </w:tc>
        <w:tc>
          <w:tcPr>
            <w:tcW w:w="6237" w:type="dxa"/>
          </w:tcPr>
          <w:p w14:paraId="19B74D13" w14:textId="5A5F2D99" w:rsidR="002E1109" w:rsidRDefault="002E1109" w:rsidP="00E938CA">
            <w:pPr>
              <w:pStyle w:val="Table10ptText-ASDEFCON"/>
            </w:pPr>
            <w:r>
              <w:t>Any discrepancies between the Contract (Acquisition) provisioning lists (</w:t>
            </w:r>
            <w:proofErr w:type="spellStart"/>
            <w:r w:rsidR="00095964">
              <w:t>eg</w:t>
            </w:r>
            <w:proofErr w:type="spellEnd"/>
            <w:r w:rsidR="00095964">
              <w:t xml:space="preserve">, </w:t>
            </w:r>
            <w:r>
              <w:t>TEL,</w:t>
            </w:r>
            <w:r w:rsidR="00B6505C">
              <w:t xml:space="preserve"> TML,</w:t>
            </w:r>
            <w:r>
              <w:t xml:space="preserve"> S&amp;TEPL, RSPL and PACKPL) and the proposed Commonwealth and Contractor (Support) stock-holding</w:t>
            </w:r>
            <w:r w:rsidR="00317F51">
              <w:t>s</w:t>
            </w:r>
            <w:r>
              <w:t>, have been resolved</w:t>
            </w:r>
            <w:r w:rsidR="00F23F80">
              <w:t>,</w:t>
            </w:r>
            <w:r>
              <w:t xml:space="preserve"> </w:t>
            </w:r>
            <w:r w:rsidR="00F23F80">
              <w:t>or plans are in place to resolve them</w:t>
            </w:r>
            <w:r w:rsidR="004A3214">
              <w:t>,</w:t>
            </w:r>
            <w:r w:rsidR="00F23F80">
              <w:t xml:space="preserve"> </w:t>
            </w:r>
            <w:r>
              <w:t xml:space="preserve">to the satisfaction of </w:t>
            </w:r>
            <w:r w:rsidR="00317F51">
              <w:t>the Commonwealth Representative</w:t>
            </w:r>
            <w:r>
              <w:t>, Contractor (Acquisition) and Contractor (Support).</w:t>
            </w:r>
          </w:p>
        </w:tc>
        <w:tc>
          <w:tcPr>
            <w:tcW w:w="1275" w:type="dxa"/>
          </w:tcPr>
          <w:p w14:paraId="281499C3" w14:textId="77777777" w:rsidR="002E1109" w:rsidRDefault="00F23F80" w:rsidP="00E938CA">
            <w:pPr>
              <w:pStyle w:val="Table10ptText-ASDEFCON"/>
            </w:pPr>
            <w:r>
              <w:t>Mandatory</w:t>
            </w:r>
          </w:p>
        </w:tc>
      </w:tr>
      <w:tr w:rsidR="002E1109" w14:paraId="3FE3C25C" w14:textId="77777777">
        <w:trPr>
          <w:cantSplit/>
        </w:trPr>
        <w:tc>
          <w:tcPr>
            <w:tcW w:w="709" w:type="dxa"/>
          </w:tcPr>
          <w:p w14:paraId="0799654C" w14:textId="77777777" w:rsidR="002E1109" w:rsidRDefault="002E1109" w:rsidP="003C64BB">
            <w:pPr>
              <w:pStyle w:val="ATTANNLV1-ASDEFCON"/>
              <w:keepNext w:val="0"/>
            </w:pPr>
          </w:p>
        </w:tc>
        <w:tc>
          <w:tcPr>
            <w:tcW w:w="6237" w:type="dxa"/>
          </w:tcPr>
          <w:p w14:paraId="22CFD5A6" w14:textId="77777777" w:rsidR="002E1109" w:rsidRDefault="002E1109" w:rsidP="00E938CA">
            <w:pPr>
              <w:pStyle w:val="Table10ptText-ASDEFCON"/>
            </w:pPr>
            <w:r>
              <w:t>Contractor (Acquisition) plans and schedules for Transition are realistic and have been agreed by the Commonwealth Representative and Contractor (Acquisition).</w:t>
            </w:r>
          </w:p>
        </w:tc>
        <w:tc>
          <w:tcPr>
            <w:tcW w:w="1275" w:type="dxa"/>
          </w:tcPr>
          <w:p w14:paraId="1A440E42" w14:textId="77777777" w:rsidR="002E1109" w:rsidRDefault="00317F51" w:rsidP="00E938CA">
            <w:pPr>
              <w:pStyle w:val="Table10ptText-ASDEFCON"/>
            </w:pPr>
            <w:r>
              <w:t>Mandatory</w:t>
            </w:r>
          </w:p>
        </w:tc>
      </w:tr>
      <w:tr w:rsidR="002E1109" w14:paraId="65C94E6C" w14:textId="77777777">
        <w:trPr>
          <w:cantSplit/>
        </w:trPr>
        <w:tc>
          <w:tcPr>
            <w:tcW w:w="709" w:type="dxa"/>
          </w:tcPr>
          <w:p w14:paraId="1FA408BC" w14:textId="77777777" w:rsidR="002E1109" w:rsidRDefault="002E1109" w:rsidP="003C64BB">
            <w:pPr>
              <w:pStyle w:val="ATTANNLV1-ASDEFCON"/>
              <w:keepNext w:val="0"/>
            </w:pPr>
          </w:p>
        </w:tc>
        <w:tc>
          <w:tcPr>
            <w:tcW w:w="6237" w:type="dxa"/>
          </w:tcPr>
          <w:p w14:paraId="72EFC872" w14:textId="77777777" w:rsidR="002E1109" w:rsidRDefault="002E1109" w:rsidP="00E938CA">
            <w:pPr>
              <w:pStyle w:val="Table10ptText-ASDEFCON"/>
            </w:pPr>
            <w:r>
              <w:t>Contractor (Support)</w:t>
            </w:r>
            <w:r w:rsidR="00317F51">
              <w:t xml:space="preserve"> plans and schedules for Phase I</w:t>
            </w:r>
            <w:r>
              <w:t xml:space="preserve">n </w:t>
            </w:r>
            <w:r w:rsidR="007057E1">
              <w:t xml:space="preserve">and Ramp Up </w:t>
            </w:r>
            <w:r>
              <w:t>are realistic, consistent with Transition, and have been agreed by th</w:t>
            </w:r>
            <w:r w:rsidR="004A3214">
              <w:t>e Commonwealth Representative</w:t>
            </w:r>
            <w:r w:rsidR="00FB5AA8">
              <w:t xml:space="preserve"> </w:t>
            </w:r>
            <w:r>
              <w:t>and Contractor (Support).</w:t>
            </w:r>
          </w:p>
        </w:tc>
        <w:tc>
          <w:tcPr>
            <w:tcW w:w="1275" w:type="dxa"/>
          </w:tcPr>
          <w:p w14:paraId="73E9A76F" w14:textId="77777777" w:rsidR="002E1109" w:rsidRDefault="00F23F80" w:rsidP="00E938CA">
            <w:pPr>
              <w:pStyle w:val="Table10ptText-ASDEFCON"/>
            </w:pPr>
            <w:r>
              <w:t>Mandatory</w:t>
            </w:r>
          </w:p>
        </w:tc>
      </w:tr>
      <w:tr w:rsidR="002E1109" w14:paraId="271A1349" w14:textId="77777777">
        <w:trPr>
          <w:cantSplit/>
        </w:trPr>
        <w:tc>
          <w:tcPr>
            <w:tcW w:w="709" w:type="dxa"/>
          </w:tcPr>
          <w:p w14:paraId="76D2843C" w14:textId="77777777" w:rsidR="002E1109" w:rsidRDefault="002E1109" w:rsidP="003C64BB">
            <w:pPr>
              <w:pStyle w:val="ATTANNLV1-ASDEFCON"/>
              <w:keepNext w:val="0"/>
            </w:pPr>
          </w:p>
        </w:tc>
        <w:tc>
          <w:tcPr>
            <w:tcW w:w="6237" w:type="dxa"/>
          </w:tcPr>
          <w:p w14:paraId="0527ED6F" w14:textId="4EA075E1" w:rsidR="002E1109" w:rsidRDefault="002E1109" w:rsidP="00E938CA">
            <w:pPr>
              <w:pStyle w:val="Table10ptText-ASDEFCON"/>
            </w:pPr>
            <w:r>
              <w:t xml:space="preserve">The </w:t>
            </w:r>
            <w:r w:rsidR="00F23F80">
              <w:t>Contract</w:t>
            </w:r>
            <w:r>
              <w:t xml:space="preserve"> (Support) </w:t>
            </w:r>
            <w:r w:rsidR="00F23F80">
              <w:t xml:space="preserve">management </w:t>
            </w:r>
            <w:r>
              <w:t xml:space="preserve">plans are consistent with the </w:t>
            </w:r>
            <w:r w:rsidR="006D5544">
              <w:t>Approved SSDESC</w:t>
            </w:r>
            <w:r w:rsidR="00B6505C">
              <w:t>,</w:t>
            </w:r>
            <w:r>
              <w:t xml:space="preserve"> </w:t>
            </w:r>
            <w:r w:rsidR="006D5544">
              <w:t xml:space="preserve">the </w:t>
            </w:r>
            <w:r w:rsidR="00F23F80">
              <w:t>SS</w:t>
            </w:r>
            <w:r>
              <w:t>FBL</w:t>
            </w:r>
            <w:r w:rsidR="00B6505C">
              <w:t>, the sustainment-related AIC Obligations under the Contract (Acquisition), and the AIC obligations under the Contract (Support)</w:t>
            </w:r>
            <w:r w:rsidR="00F23F80">
              <w:t xml:space="preserve">, or plans are in place to </w:t>
            </w:r>
            <w:r w:rsidR="004A3214">
              <w:t>update th</w:t>
            </w:r>
            <w:r w:rsidR="00FB5AA8">
              <w:t>os</w:t>
            </w:r>
            <w:r w:rsidR="004A3214">
              <w:t xml:space="preserve">e management plans to enable Approval </w:t>
            </w:r>
            <w:r w:rsidR="00F23F80">
              <w:t>prior to the Contract (Support) Operative Date</w:t>
            </w:r>
            <w:r>
              <w:t>.</w:t>
            </w:r>
          </w:p>
        </w:tc>
        <w:tc>
          <w:tcPr>
            <w:tcW w:w="1275" w:type="dxa"/>
          </w:tcPr>
          <w:p w14:paraId="67CC63B5" w14:textId="77777777" w:rsidR="002E1109" w:rsidRDefault="00F23F80" w:rsidP="00E938CA">
            <w:pPr>
              <w:pStyle w:val="Table10ptText-ASDEFCON"/>
            </w:pPr>
            <w:r>
              <w:t>Mandatory</w:t>
            </w:r>
          </w:p>
        </w:tc>
      </w:tr>
      <w:tr w:rsidR="004C11E9" w14:paraId="183466A4" w14:textId="77777777">
        <w:trPr>
          <w:cantSplit/>
        </w:trPr>
        <w:tc>
          <w:tcPr>
            <w:tcW w:w="709" w:type="dxa"/>
          </w:tcPr>
          <w:p w14:paraId="2E62AD04" w14:textId="77777777" w:rsidR="004C11E9" w:rsidRDefault="004C11E9" w:rsidP="003C64BB">
            <w:pPr>
              <w:pStyle w:val="ATTANNLV1-ASDEFCON"/>
              <w:keepNext w:val="0"/>
            </w:pPr>
          </w:p>
        </w:tc>
        <w:tc>
          <w:tcPr>
            <w:tcW w:w="6237" w:type="dxa"/>
          </w:tcPr>
          <w:p w14:paraId="1A942F99" w14:textId="77777777" w:rsidR="004C11E9" w:rsidRPr="006A5656" w:rsidRDefault="004C11E9" w:rsidP="00E938CA">
            <w:pPr>
              <w:pStyle w:val="Table10ptText-ASDEFCON"/>
              <w:rPr>
                <w:snapToGrid w:val="0"/>
              </w:rPr>
            </w:pPr>
            <w:r>
              <w:rPr>
                <w:snapToGrid w:val="0"/>
              </w:rPr>
              <w:t>The CTXP and the Contract (Support) PHIP</w:t>
            </w:r>
            <w:r w:rsidR="00C22A7B">
              <w:rPr>
                <w:snapToGrid w:val="0"/>
              </w:rPr>
              <w:t xml:space="preserve"> and RUMP</w:t>
            </w:r>
            <w:r>
              <w:rPr>
                <w:snapToGrid w:val="0"/>
              </w:rPr>
              <w:t xml:space="preserve"> are Approved</w:t>
            </w:r>
            <w:r w:rsidR="007057E1">
              <w:rPr>
                <w:snapToGrid w:val="0"/>
              </w:rPr>
              <w:t>.</w:t>
            </w:r>
          </w:p>
        </w:tc>
        <w:tc>
          <w:tcPr>
            <w:tcW w:w="1275" w:type="dxa"/>
          </w:tcPr>
          <w:p w14:paraId="41F2BC73" w14:textId="77777777" w:rsidR="004C11E9" w:rsidRDefault="004C11E9" w:rsidP="00E938CA">
            <w:pPr>
              <w:pStyle w:val="Table10ptText-ASDEFCON"/>
            </w:pPr>
            <w:r>
              <w:t>Mandatory</w:t>
            </w:r>
          </w:p>
        </w:tc>
      </w:tr>
      <w:tr w:rsidR="002E1109" w14:paraId="27B1DF29" w14:textId="77777777">
        <w:trPr>
          <w:cantSplit/>
        </w:trPr>
        <w:tc>
          <w:tcPr>
            <w:tcW w:w="709" w:type="dxa"/>
          </w:tcPr>
          <w:p w14:paraId="2D525368" w14:textId="77777777" w:rsidR="002E1109" w:rsidRDefault="002E1109" w:rsidP="003C64BB">
            <w:pPr>
              <w:pStyle w:val="ATTANNLV1-ASDEFCON"/>
              <w:keepNext w:val="0"/>
            </w:pPr>
          </w:p>
        </w:tc>
        <w:tc>
          <w:tcPr>
            <w:tcW w:w="6237" w:type="dxa"/>
          </w:tcPr>
          <w:p w14:paraId="4A568E9A" w14:textId="61F9002D" w:rsidR="00095964" w:rsidRDefault="002E1109" w:rsidP="00E938CA">
            <w:pPr>
              <w:pStyle w:val="Table10ptText-ASDEFCON"/>
              <w:rPr>
                <w:snapToGrid w:val="0"/>
              </w:rPr>
            </w:pPr>
            <w:r w:rsidRPr="006A5656">
              <w:rPr>
                <w:snapToGrid w:val="0"/>
              </w:rPr>
              <w:t>The Contractor (Acquisition) and the Co</w:t>
            </w:r>
            <w:r w:rsidR="006A5656" w:rsidRPr="006A5656">
              <w:rPr>
                <w:snapToGrid w:val="0"/>
              </w:rPr>
              <w:t xml:space="preserve">ntractor (Support) </w:t>
            </w:r>
            <w:r w:rsidR="009A5A49">
              <w:rPr>
                <w:snapToGrid w:val="0"/>
              </w:rPr>
              <w:t>agree</w:t>
            </w:r>
            <w:r w:rsidR="009A5A49" w:rsidRPr="006A5656">
              <w:rPr>
                <w:snapToGrid w:val="0"/>
              </w:rPr>
              <w:t xml:space="preserve"> </w:t>
            </w:r>
            <w:r w:rsidRPr="006A5656">
              <w:rPr>
                <w:snapToGrid w:val="0"/>
              </w:rPr>
              <w:t>that implementation of Transition</w:t>
            </w:r>
            <w:r w:rsidR="00DB03A7">
              <w:rPr>
                <w:snapToGrid w:val="0"/>
              </w:rPr>
              <w:t xml:space="preserve"> </w:t>
            </w:r>
            <w:r w:rsidR="00A5546D">
              <w:rPr>
                <w:snapToGrid w:val="0"/>
              </w:rPr>
              <w:t xml:space="preserve">and the </w:t>
            </w:r>
            <w:r w:rsidRPr="006A5656">
              <w:rPr>
                <w:snapToGrid w:val="0"/>
              </w:rPr>
              <w:t>Phase</w:t>
            </w:r>
            <w:r w:rsidR="006A5656" w:rsidRPr="006A5656">
              <w:rPr>
                <w:snapToGrid w:val="0"/>
              </w:rPr>
              <w:t xml:space="preserve"> I</w:t>
            </w:r>
            <w:r w:rsidRPr="006A5656">
              <w:rPr>
                <w:snapToGrid w:val="0"/>
              </w:rPr>
              <w:t>n</w:t>
            </w:r>
            <w:r w:rsidR="000B2668">
              <w:rPr>
                <w:snapToGrid w:val="0"/>
              </w:rPr>
              <w:t xml:space="preserve"> and</w:t>
            </w:r>
            <w:r w:rsidR="00DB03A7">
              <w:rPr>
                <w:snapToGrid w:val="0"/>
              </w:rPr>
              <w:t xml:space="preserve"> </w:t>
            </w:r>
            <w:r w:rsidR="007057E1">
              <w:rPr>
                <w:snapToGrid w:val="0"/>
              </w:rPr>
              <w:t xml:space="preserve">Ramp Up </w:t>
            </w:r>
            <w:r w:rsidR="000B2668">
              <w:rPr>
                <w:snapToGrid w:val="0"/>
              </w:rPr>
              <w:t xml:space="preserve">of </w:t>
            </w:r>
            <w:r w:rsidR="00BA2E8C">
              <w:rPr>
                <w:snapToGrid w:val="0"/>
              </w:rPr>
              <w:t>S</w:t>
            </w:r>
            <w:r w:rsidR="000B2668">
              <w:rPr>
                <w:snapToGrid w:val="0"/>
              </w:rPr>
              <w:t>ervices</w:t>
            </w:r>
            <w:r w:rsidRPr="006A5656">
              <w:rPr>
                <w:snapToGrid w:val="0"/>
              </w:rPr>
              <w:t xml:space="preserve">, in accordance with the </w:t>
            </w:r>
            <w:r w:rsidR="00095964">
              <w:rPr>
                <w:snapToGrid w:val="0"/>
              </w:rPr>
              <w:t xml:space="preserve">Approved </w:t>
            </w:r>
            <w:r w:rsidRPr="006A5656">
              <w:rPr>
                <w:snapToGrid w:val="0"/>
              </w:rPr>
              <w:t>CTXP</w:t>
            </w:r>
            <w:r w:rsidR="00DB03A7">
              <w:rPr>
                <w:snapToGrid w:val="0"/>
              </w:rPr>
              <w:t xml:space="preserve">, </w:t>
            </w:r>
            <w:r w:rsidR="00095964">
              <w:rPr>
                <w:snapToGrid w:val="0"/>
              </w:rPr>
              <w:t xml:space="preserve">Approved </w:t>
            </w:r>
            <w:r w:rsidRPr="006A5656">
              <w:rPr>
                <w:snapToGrid w:val="0"/>
              </w:rPr>
              <w:t>PHIP</w:t>
            </w:r>
            <w:r w:rsidR="00DB03A7">
              <w:rPr>
                <w:snapToGrid w:val="0"/>
              </w:rPr>
              <w:t xml:space="preserve"> and Approved RUMP</w:t>
            </w:r>
            <w:r w:rsidR="00A5546D">
              <w:rPr>
                <w:snapToGrid w:val="0"/>
              </w:rPr>
              <w:t>,</w:t>
            </w:r>
            <w:r w:rsidRPr="006A5656">
              <w:rPr>
                <w:snapToGrid w:val="0"/>
              </w:rPr>
              <w:t xml:space="preserve"> will establish </w:t>
            </w:r>
            <w:r w:rsidR="00F23F80">
              <w:rPr>
                <w:snapToGrid w:val="0"/>
              </w:rPr>
              <w:t xml:space="preserve">the </w:t>
            </w:r>
            <w:r w:rsidRPr="006A5656">
              <w:rPr>
                <w:snapToGrid w:val="0"/>
              </w:rPr>
              <w:t xml:space="preserve">Contract (Support) functions </w:t>
            </w:r>
            <w:r w:rsidR="00F23F80">
              <w:rPr>
                <w:snapToGrid w:val="0"/>
              </w:rPr>
              <w:t>necessary to</w:t>
            </w:r>
            <w:r w:rsidRPr="006A5656">
              <w:rPr>
                <w:snapToGrid w:val="0"/>
              </w:rPr>
              <w:t xml:space="preserve"> satisfy the applicable requirements </w:t>
            </w:r>
            <w:r w:rsidR="00F23F80">
              <w:rPr>
                <w:snapToGrid w:val="0"/>
              </w:rPr>
              <w:t>of</w:t>
            </w:r>
            <w:r w:rsidRPr="006A5656">
              <w:rPr>
                <w:snapToGrid w:val="0"/>
              </w:rPr>
              <w:t xml:space="preserve"> the </w:t>
            </w:r>
            <w:r w:rsidR="00F23F80">
              <w:rPr>
                <w:snapToGrid w:val="0"/>
              </w:rPr>
              <w:t>SS</w:t>
            </w:r>
            <w:r w:rsidRPr="006A5656">
              <w:rPr>
                <w:snapToGrid w:val="0"/>
              </w:rPr>
              <w:t>FBL</w:t>
            </w:r>
            <w:r w:rsidR="008A20DC">
              <w:rPr>
                <w:snapToGrid w:val="0"/>
              </w:rPr>
              <w:t xml:space="preserve"> and the sustainment-related AIC obligations under both Contracts</w:t>
            </w:r>
            <w:r w:rsidRPr="006A5656">
              <w:rPr>
                <w:snapToGrid w:val="0"/>
              </w:rPr>
              <w:t>.</w:t>
            </w:r>
          </w:p>
          <w:p w14:paraId="75A99145" w14:textId="77777777" w:rsidR="009A5A49" w:rsidRPr="008F56DE" w:rsidRDefault="009A5A49" w:rsidP="00E938CA">
            <w:pPr>
              <w:pStyle w:val="Table10ptText-ASDEFCON"/>
              <w:rPr>
                <w:b/>
                <w:i/>
              </w:rPr>
            </w:pPr>
            <w:r>
              <w:rPr>
                <w:snapToGrid w:val="0"/>
              </w:rPr>
              <w:t>For this exit criterion, agreement will be deemed to have been provided when the Contractor (Acquisition) and the Contractor (Support) have both signed the minutes of the TXRR</w:t>
            </w:r>
            <w:r w:rsidR="00D073DF">
              <w:rPr>
                <w:snapToGrid w:val="0"/>
              </w:rPr>
              <w:t>.</w:t>
            </w:r>
          </w:p>
        </w:tc>
        <w:tc>
          <w:tcPr>
            <w:tcW w:w="1275" w:type="dxa"/>
          </w:tcPr>
          <w:p w14:paraId="0536F06B" w14:textId="77777777" w:rsidR="002E1109" w:rsidRDefault="004A3214" w:rsidP="00E938CA">
            <w:pPr>
              <w:pStyle w:val="Table10ptText-ASDEFCON"/>
            </w:pPr>
            <w:r>
              <w:t>Mandatory</w:t>
            </w:r>
          </w:p>
        </w:tc>
      </w:tr>
      <w:tr w:rsidR="002E1109" w14:paraId="1FBCE14A" w14:textId="77777777">
        <w:trPr>
          <w:cantSplit/>
        </w:trPr>
        <w:tc>
          <w:tcPr>
            <w:tcW w:w="709" w:type="dxa"/>
          </w:tcPr>
          <w:p w14:paraId="6DCAFAC3" w14:textId="77777777" w:rsidR="002E1109" w:rsidRDefault="002E1109" w:rsidP="003C64BB">
            <w:pPr>
              <w:pStyle w:val="ATTANNLV1-ASDEFCON"/>
              <w:keepNext w:val="0"/>
            </w:pPr>
          </w:p>
        </w:tc>
        <w:tc>
          <w:tcPr>
            <w:tcW w:w="6237" w:type="dxa"/>
          </w:tcPr>
          <w:p w14:paraId="1F030700" w14:textId="77777777" w:rsidR="002E1109" w:rsidRDefault="002E1109" w:rsidP="00E938CA">
            <w:pPr>
              <w:pStyle w:val="Table10ptText-ASDEFCON"/>
            </w:pPr>
            <w:r>
              <w:t>All major action items have been closed.</w:t>
            </w:r>
          </w:p>
        </w:tc>
        <w:tc>
          <w:tcPr>
            <w:tcW w:w="1275" w:type="dxa"/>
          </w:tcPr>
          <w:p w14:paraId="52303DBA" w14:textId="77777777" w:rsidR="002E1109" w:rsidRDefault="00F23F80" w:rsidP="00E938CA">
            <w:pPr>
              <w:pStyle w:val="Table10ptText-ASDEFCON"/>
            </w:pPr>
            <w:r>
              <w:t>Mandatory</w:t>
            </w:r>
          </w:p>
        </w:tc>
      </w:tr>
      <w:tr w:rsidR="002E1109" w14:paraId="7ED4C6E2" w14:textId="77777777">
        <w:trPr>
          <w:cantSplit/>
        </w:trPr>
        <w:tc>
          <w:tcPr>
            <w:tcW w:w="709" w:type="dxa"/>
          </w:tcPr>
          <w:p w14:paraId="2C1B89C2" w14:textId="77777777" w:rsidR="002E1109" w:rsidRDefault="002E1109" w:rsidP="003C64BB">
            <w:pPr>
              <w:pStyle w:val="ATTANNLV1-ASDEFCON"/>
              <w:keepNext w:val="0"/>
            </w:pPr>
          </w:p>
        </w:tc>
        <w:tc>
          <w:tcPr>
            <w:tcW w:w="6237" w:type="dxa"/>
          </w:tcPr>
          <w:p w14:paraId="3780A1F5" w14:textId="77777777" w:rsidR="002E1109" w:rsidRDefault="002E1109" w:rsidP="00E938CA">
            <w:pPr>
              <w:pStyle w:val="Table10ptText-ASDEFCON"/>
            </w:pPr>
            <w:r>
              <w:t>All minor action items have been documented and assigned with agreed closure dates.</w:t>
            </w:r>
          </w:p>
        </w:tc>
        <w:tc>
          <w:tcPr>
            <w:tcW w:w="1275" w:type="dxa"/>
          </w:tcPr>
          <w:p w14:paraId="5CD1FC9C" w14:textId="77777777" w:rsidR="002E1109" w:rsidRDefault="00F23F80" w:rsidP="00E938CA">
            <w:pPr>
              <w:pStyle w:val="Table10ptText-ASDEFCON"/>
            </w:pPr>
            <w:r>
              <w:t>Mandatory</w:t>
            </w:r>
          </w:p>
        </w:tc>
      </w:tr>
      <w:tr w:rsidR="009C1512" w14:paraId="3133B362" w14:textId="77777777">
        <w:trPr>
          <w:cantSplit/>
        </w:trPr>
        <w:tc>
          <w:tcPr>
            <w:tcW w:w="709" w:type="dxa"/>
          </w:tcPr>
          <w:p w14:paraId="43DEC09D" w14:textId="77777777" w:rsidR="009C1512" w:rsidRDefault="009C1512" w:rsidP="003C64BB">
            <w:pPr>
              <w:pStyle w:val="ATTANNLV1-ASDEFCON"/>
              <w:keepNext w:val="0"/>
            </w:pPr>
          </w:p>
        </w:tc>
        <w:tc>
          <w:tcPr>
            <w:tcW w:w="6237" w:type="dxa"/>
          </w:tcPr>
          <w:p w14:paraId="53903242" w14:textId="77777777" w:rsidR="009C1512" w:rsidRDefault="009C1512" w:rsidP="00E938CA">
            <w:pPr>
              <w:pStyle w:val="Table10ptText-ASDEFCON"/>
            </w:pPr>
            <w:r>
              <w:t>All outcomes from TXRR</w:t>
            </w:r>
            <w:r w:rsidRPr="00B03049">
              <w:t xml:space="preserve"> have been addressed adequately in the </w:t>
            </w:r>
            <w:r>
              <w:t>Contract</w:t>
            </w:r>
            <w:r w:rsidRPr="00B03049">
              <w:t xml:space="preserve"> Master Schedule to the satisfaction of the Commonwealth Representative.</w:t>
            </w:r>
          </w:p>
        </w:tc>
        <w:tc>
          <w:tcPr>
            <w:tcW w:w="1275" w:type="dxa"/>
          </w:tcPr>
          <w:p w14:paraId="5DE4E50B" w14:textId="77777777" w:rsidR="009C1512" w:rsidRDefault="009C1512" w:rsidP="00E938CA">
            <w:pPr>
              <w:pStyle w:val="Table10ptText-ASDEFCON"/>
            </w:pPr>
            <w:r w:rsidRPr="00B03049">
              <w:t>Mandatory</w:t>
            </w:r>
          </w:p>
        </w:tc>
      </w:tr>
      <w:tr w:rsidR="009C1512" w14:paraId="0ECA61F5" w14:textId="77777777">
        <w:trPr>
          <w:cantSplit/>
        </w:trPr>
        <w:tc>
          <w:tcPr>
            <w:tcW w:w="709" w:type="dxa"/>
          </w:tcPr>
          <w:p w14:paraId="27758F05" w14:textId="77777777" w:rsidR="009C1512" w:rsidRDefault="009C1512" w:rsidP="003C64BB">
            <w:pPr>
              <w:pStyle w:val="ATTANNLV1-ASDEFCON"/>
              <w:keepNext w:val="0"/>
            </w:pPr>
          </w:p>
        </w:tc>
        <w:tc>
          <w:tcPr>
            <w:tcW w:w="6237" w:type="dxa"/>
          </w:tcPr>
          <w:p w14:paraId="63FC732E" w14:textId="77777777" w:rsidR="009C1512" w:rsidRDefault="009C1512" w:rsidP="00E938CA">
            <w:pPr>
              <w:pStyle w:val="Table10ptText-ASDEFCON"/>
            </w:pPr>
            <w:r>
              <w:t xml:space="preserve">Review </w:t>
            </w:r>
            <w:r w:rsidR="00D445B0">
              <w:t>M</w:t>
            </w:r>
            <w:r>
              <w:t>inutes have been prepared, Approved, and distributed in accordance with the Contract</w:t>
            </w:r>
            <w:r w:rsidR="00321735">
              <w:t xml:space="preserve"> (Acquisition)</w:t>
            </w:r>
            <w:r>
              <w:t>.</w:t>
            </w:r>
          </w:p>
        </w:tc>
        <w:tc>
          <w:tcPr>
            <w:tcW w:w="1275" w:type="dxa"/>
          </w:tcPr>
          <w:p w14:paraId="66DB86AC" w14:textId="77777777" w:rsidR="009C1512" w:rsidRDefault="009C1512" w:rsidP="00E938CA">
            <w:pPr>
              <w:pStyle w:val="Table10ptText-ASDEFCON"/>
            </w:pPr>
            <w:r>
              <w:t>Mandatory</w:t>
            </w:r>
          </w:p>
        </w:tc>
      </w:tr>
    </w:tbl>
    <w:p w14:paraId="051CB5F2" w14:textId="77777777" w:rsidR="002E1109" w:rsidRDefault="002E1109">
      <w:pPr>
        <w:pStyle w:val="DIDText"/>
        <w:ind w:left="0"/>
      </w:pPr>
    </w:p>
    <w:sectPr w:rsidR="002E1109" w:rsidSect="00A67334">
      <w:headerReference w:type="default" r:id="rId7"/>
      <w:footerReference w:type="even" r:id="rId8"/>
      <w:footerReference w:type="default" r:id="rId9"/>
      <w:footerReference w:type="first" r:id="rId10"/>
      <w:pgSz w:w="11906" w:h="16838" w:code="9"/>
      <w:pgMar w:top="1304" w:right="1418" w:bottom="1021" w:left="1418" w:header="567"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5C279" w14:textId="77777777" w:rsidR="00267CC5" w:rsidRDefault="00267CC5" w:rsidP="002E1109">
      <w:pPr>
        <w:spacing w:after="0"/>
      </w:pPr>
      <w:r>
        <w:separator/>
      </w:r>
    </w:p>
  </w:endnote>
  <w:endnote w:type="continuationSeparator" w:id="0">
    <w:p w14:paraId="135B30B9" w14:textId="77777777" w:rsidR="00267CC5" w:rsidRDefault="00267CC5" w:rsidP="002E11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309F4" w14:textId="77777777" w:rsidR="00D141B1" w:rsidRDefault="006403F5">
    <w:pPr>
      <w:pStyle w:val="Footer"/>
    </w:pPr>
    <w:fldSimple w:instr=" DOCVARIABLE  CUFooterText \* MERGEFORMAT " w:fldLock="1">
      <w:r w:rsidR="00D141B1">
        <w:t>Legal\310165964.2</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141B1" w14:paraId="0AB18289" w14:textId="77777777" w:rsidTr="00847AE0">
      <w:tc>
        <w:tcPr>
          <w:tcW w:w="2500" w:type="pct"/>
        </w:tcPr>
        <w:p w14:paraId="35BD6568" w14:textId="77777777" w:rsidR="00D141B1" w:rsidRDefault="00D141B1" w:rsidP="00847AE0">
          <w:pPr>
            <w:pStyle w:val="ASDEFCONHeaderFooterLeft"/>
          </w:pPr>
        </w:p>
      </w:tc>
      <w:tc>
        <w:tcPr>
          <w:tcW w:w="2500" w:type="pct"/>
        </w:tcPr>
        <w:p w14:paraId="3DE80FC3" w14:textId="71FAF48B" w:rsidR="00D141B1" w:rsidRPr="00847AE0" w:rsidRDefault="00D141B1" w:rsidP="00847AE0">
          <w:pPr>
            <w:pStyle w:val="ASDEFCONHeaderFooterRight"/>
            <w:rPr>
              <w:szCs w:val="16"/>
            </w:rPr>
          </w:pPr>
          <w:r w:rsidRPr="00847AE0">
            <w:rPr>
              <w:rStyle w:val="PageNumber"/>
              <w:color w:val="auto"/>
              <w:szCs w:val="16"/>
            </w:rPr>
            <w:fldChar w:fldCharType="begin"/>
          </w:r>
          <w:r w:rsidRPr="00847AE0">
            <w:rPr>
              <w:rStyle w:val="PageNumber"/>
              <w:color w:val="auto"/>
              <w:szCs w:val="16"/>
            </w:rPr>
            <w:instrText xml:space="preserve"> PAGE </w:instrText>
          </w:r>
          <w:r w:rsidRPr="00847AE0">
            <w:rPr>
              <w:rStyle w:val="PageNumber"/>
              <w:color w:val="auto"/>
              <w:szCs w:val="16"/>
            </w:rPr>
            <w:fldChar w:fldCharType="separate"/>
          </w:r>
          <w:r w:rsidR="00910462">
            <w:rPr>
              <w:rStyle w:val="PageNumber"/>
              <w:noProof/>
              <w:color w:val="auto"/>
              <w:szCs w:val="16"/>
            </w:rPr>
            <w:t>1</w:t>
          </w:r>
          <w:r w:rsidRPr="00847AE0">
            <w:rPr>
              <w:rStyle w:val="PageNumber"/>
              <w:color w:val="auto"/>
              <w:szCs w:val="16"/>
            </w:rPr>
            <w:fldChar w:fldCharType="end"/>
          </w:r>
        </w:p>
      </w:tc>
    </w:tr>
    <w:tr w:rsidR="00D141B1" w14:paraId="562C9915" w14:textId="77777777" w:rsidTr="00847AE0">
      <w:tc>
        <w:tcPr>
          <w:tcW w:w="5000" w:type="pct"/>
          <w:gridSpan w:val="2"/>
        </w:tcPr>
        <w:p w14:paraId="56E97B50" w14:textId="342D29A0" w:rsidR="00D141B1" w:rsidRDefault="00267CC5" w:rsidP="00E938CA">
          <w:pPr>
            <w:pStyle w:val="ASDEFCONHeaderFooterClassification"/>
          </w:pPr>
          <w:r>
            <w:fldChar w:fldCharType="begin"/>
          </w:r>
          <w:r>
            <w:instrText xml:space="preserve"> DOCPROPERTY  Classification  \* MERGEFORMAT </w:instrText>
          </w:r>
          <w:r>
            <w:fldChar w:fldCharType="separate"/>
          </w:r>
          <w:r w:rsidR="009F7702">
            <w:t>OFFICIAL</w:t>
          </w:r>
          <w:r>
            <w:fldChar w:fldCharType="end"/>
          </w:r>
        </w:p>
      </w:tc>
    </w:tr>
  </w:tbl>
  <w:p w14:paraId="07F99F7C" w14:textId="77777777" w:rsidR="00D141B1" w:rsidRPr="00847AE0" w:rsidRDefault="00D141B1" w:rsidP="00847A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D8505" w14:textId="77777777" w:rsidR="00D141B1" w:rsidRDefault="006403F5">
    <w:pPr>
      <w:pStyle w:val="Footer"/>
    </w:pPr>
    <w:fldSimple w:instr=" DOCVARIABLE  CUFooterText \* MERGEFORMAT " w:fldLock="1">
      <w:r w:rsidR="00D141B1">
        <w:t>Legal\310165964.2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7391B" w14:textId="77777777" w:rsidR="00267CC5" w:rsidRDefault="00267CC5" w:rsidP="002E1109">
      <w:pPr>
        <w:spacing w:after="0"/>
      </w:pPr>
      <w:r>
        <w:separator/>
      </w:r>
    </w:p>
  </w:footnote>
  <w:footnote w:type="continuationSeparator" w:id="0">
    <w:p w14:paraId="042B0AB5" w14:textId="77777777" w:rsidR="00267CC5" w:rsidRDefault="00267CC5" w:rsidP="002E110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141B1" w14:paraId="7489428C" w14:textId="77777777" w:rsidTr="00847AE0">
      <w:tc>
        <w:tcPr>
          <w:tcW w:w="5000" w:type="pct"/>
          <w:gridSpan w:val="2"/>
        </w:tcPr>
        <w:p w14:paraId="29A9DCD3" w14:textId="108D5A56" w:rsidR="00D141B1" w:rsidRDefault="00267CC5" w:rsidP="00E938CA">
          <w:pPr>
            <w:pStyle w:val="ASDEFCONHeaderFooterClassification"/>
          </w:pPr>
          <w:r>
            <w:fldChar w:fldCharType="begin"/>
          </w:r>
          <w:r>
            <w:instrText xml:space="preserve"> DOCPROPERTY  Classification  \* MERGEFORMAT </w:instrText>
          </w:r>
          <w:r>
            <w:fldChar w:fldCharType="separate"/>
          </w:r>
          <w:r w:rsidR="009F7702">
            <w:t>OFFICIAL</w:t>
          </w:r>
          <w:r>
            <w:fldChar w:fldCharType="end"/>
          </w:r>
        </w:p>
      </w:tc>
    </w:tr>
    <w:tr w:rsidR="00D141B1" w14:paraId="59319614" w14:textId="77777777" w:rsidTr="00847AE0">
      <w:tc>
        <w:tcPr>
          <w:tcW w:w="2500" w:type="pct"/>
        </w:tcPr>
        <w:p w14:paraId="50CAE207" w14:textId="3F033994" w:rsidR="00D141B1" w:rsidRDefault="00267CC5" w:rsidP="00847AE0">
          <w:pPr>
            <w:pStyle w:val="ASDEFCONHeaderFooterLeft"/>
          </w:pPr>
          <w:r>
            <w:fldChar w:fldCharType="begin"/>
          </w:r>
          <w:r>
            <w:instrText xml:space="preserve"> DOCPROPERTY Header_Left </w:instrText>
          </w:r>
          <w:r>
            <w:fldChar w:fldCharType="separate"/>
          </w:r>
          <w:r w:rsidR="009F7702">
            <w:t>ASDEFCON (Strategic Materiel)</w:t>
          </w:r>
          <w:r>
            <w:fldChar w:fldCharType="end"/>
          </w:r>
        </w:p>
      </w:tc>
      <w:tc>
        <w:tcPr>
          <w:tcW w:w="2500" w:type="pct"/>
        </w:tcPr>
        <w:p w14:paraId="124E1969" w14:textId="239D46FE" w:rsidR="00D141B1" w:rsidRDefault="006403F5" w:rsidP="00847AE0">
          <w:pPr>
            <w:pStyle w:val="ASDEFCONHeaderFooterRight"/>
          </w:pPr>
          <w:fldSimple w:instr=" DOCPROPERTY  Title  \* MERGEFORMAT ">
            <w:r w:rsidR="009F7702">
              <w:t>MSR-CHECKLIST-TXRR</w:t>
            </w:r>
          </w:fldSimple>
          <w:r w:rsidR="009D4186">
            <w:t>-</w:t>
          </w:r>
          <w:fldSimple w:instr=" DOCPROPERTY  Version  \* MERGEFORMAT ">
            <w:r w:rsidR="00A67334">
              <w:t>V5.3</w:t>
            </w:r>
          </w:fldSimple>
        </w:p>
      </w:tc>
    </w:tr>
  </w:tbl>
  <w:p w14:paraId="5E575B4D" w14:textId="77777777" w:rsidR="00D141B1" w:rsidRPr="00847AE0" w:rsidRDefault="00D141B1" w:rsidP="00847AE0">
    <w:pPr>
      <w:pStyle w:val="Header"/>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2F4640"/>
    <w:multiLevelType w:val="multilevel"/>
    <w:tmpl w:val="A2D42216"/>
    <w:lvl w:ilvl="0">
      <w:start w:val="1"/>
      <w:numFmt w:val="lowerLetter"/>
      <w:pStyle w:val="Header"/>
      <w:lvlText w:val="%1."/>
      <w:lvlJc w:val="left"/>
      <w:pPr>
        <w:tabs>
          <w:tab w:val="num" w:pos="1701"/>
        </w:tabs>
        <w:ind w:left="1701" w:hanging="850"/>
      </w:pPr>
      <w:rPr>
        <w:rFonts w:ascii="Arial" w:hAnsi="Arial" w:hint="default"/>
        <w:b w:val="0"/>
        <w:i w:val="0"/>
        <w:sz w:val="20"/>
      </w:rPr>
    </w:lvl>
    <w:lvl w:ilvl="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5"/>
  </w:num>
  <w:num w:numId="3">
    <w:abstractNumId w:val="7"/>
  </w:num>
  <w:num w:numId="4">
    <w:abstractNumId w:val="18"/>
  </w:num>
  <w:num w:numId="5">
    <w:abstractNumId w:val="24"/>
    <w:lvlOverride w:ilvl="0">
      <w:startOverride w:val="1"/>
    </w:lvlOverride>
  </w:num>
  <w:num w:numId="6">
    <w:abstractNumId w:val="23"/>
  </w:num>
  <w:num w:numId="7">
    <w:abstractNumId w:val="31"/>
  </w:num>
  <w:num w:numId="8">
    <w:abstractNumId w:val="11"/>
  </w:num>
  <w:num w:numId="9">
    <w:abstractNumId w:val="12"/>
  </w:num>
  <w:num w:numId="10">
    <w:abstractNumId w:val="33"/>
  </w:num>
  <w:num w:numId="11">
    <w:abstractNumId w:val="19"/>
  </w:num>
  <w:num w:numId="12">
    <w:abstractNumId w:val="37"/>
  </w:num>
  <w:num w:numId="13">
    <w:abstractNumId w:val="13"/>
  </w:num>
  <w:num w:numId="14">
    <w:abstractNumId w:val="16"/>
  </w:num>
  <w:num w:numId="15">
    <w:abstractNumId w:val="39"/>
  </w:num>
  <w:num w:numId="16">
    <w:abstractNumId w:val="10"/>
  </w:num>
  <w:num w:numId="17">
    <w:abstractNumId w:val="8"/>
  </w:num>
  <w:num w:numId="18">
    <w:abstractNumId w:val="2"/>
  </w:num>
  <w:num w:numId="19">
    <w:abstractNumId w:val="4"/>
  </w:num>
  <w:num w:numId="20">
    <w:abstractNumId w:val="15"/>
  </w:num>
  <w:num w:numId="21">
    <w:abstractNumId w:val="1"/>
  </w:num>
  <w:num w:numId="22">
    <w:abstractNumId w:val="21"/>
  </w:num>
  <w:num w:numId="23">
    <w:abstractNumId w:val="35"/>
  </w:num>
  <w:num w:numId="24">
    <w:abstractNumId w:val="32"/>
  </w:num>
  <w:num w:numId="25">
    <w:abstractNumId w:val="17"/>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36"/>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4"/>
  </w:num>
  <w:num w:numId="35">
    <w:abstractNumId w:val="6"/>
  </w:num>
  <w:num w:numId="36">
    <w:abstractNumId w:val="38"/>
  </w:num>
  <w:num w:numId="37">
    <w:abstractNumId w:val="14"/>
  </w:num>
  <w:num w:numId="38">
    <w:abstractNumId w:val="22"/>
  </w:num>
  <w:num w:numId="39">
    <w:abstractNumId w:val="9"/>
  </w:num>
  <w:num w:numId="40">
    <w:abstractNumId w:val="3"/>
  </w:num>
  <w:num w:numId="41">
    <w:abstractNumId w:val="27"/>
  </w:num>
  <w:num w:numId="42">
    <w:abstractNumId w:val="28"/>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30"/>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10165964.2"/>
  </w:docVars>
  <w:rsids>
    <w:rsidRoot w:val="00FB583F"/>
    <w:rsid w:val="00000A46"/>
    <w:rsid w:val="000123E2"/>
    <w:rsid w:val="00012B0F"/>
    <w:rsid w:val="00022515"/>
    <w:rsid w:val="00025819"/>
    <w:rsid w:val="000348E6"/>
    <w:rsid w:val="00041C8E"/>
    <w:rsid w:val="00045FD8"/>
    <w:rsid w:val="00064EE7"/>
    <w:rsid w:val="0006694B"/>
    <w:rsid w:val="00067E92"/>
    <w:rsid w:val="00070FD9"/>
    <w:rsid w:val="00076992"/>
    <w:rsid w:val="00093879"/>
    <w:rsid w:val="00095964"/>
    <w:rsid w:val="000A3AE1"/>
    <w:rsid w:val="000B2668"/>
    <w:rsid w:val="000D61AB"/>
    <w:rsid w:val="000D725C"/>
    <w:rsid w:val="000E2AA2"/>
    <w:rsid w:val="000E2C3D"/>
    <w:rsid w:val="000E57FD"/>
    <w:rsid w:val="000E6C80"/>
    <w:rsid w:val="000F5937"/>
    <w:rsid w:val="00130728"/>
    <w:rsid w:val="0013798A"/>
    <w:rsid w:val="001570A7"/>
    <w:rsid w:val="001672EE"/>
    <w:rsid w:val="001674B7"/>
    <w:rsid w:val="00181B31"/>
    <w:rsid w:val="001916A9"/>
    <w:rsid w:val="0019252B"/>
    <w:rsid w:val="001A10D4"/>
    <w:rsid w:val="001B0940"/>
    <w:rsid w:val="001B4041"/>
    <w:rsid w:val="001C7E66"/>
    <w:rsid w:val="001D011E"/>
    <w:rsid w:val="001D03EB"/>
    <w:rsid w:val="001E1EF1"/>
    <w:rsid w:val="001F69B1"/>
    <w:rsid w:val="002029C5"/>
    <w:rsid w:val="00211078"/>
    <w:rsid w:val="00223E14"/>
    <w:rsid w:val="0023650C"/>
    <w:rsid w:val="00243277"/>
    <w:rsid w:val="0025437F"/>
    <w:rsid w:val="002551CD"/>
    <w:rsid w:val="00262922"/>
    <w:rsid w:val="00267CC5"/>
    <w:rsid w:val="00286D4A"/>
    <w:rsid w:val="002B1C43"/>
    <w:rsid w:val="002B4DAE"/>
    <w:rsid w:val="002B6DE7"/>
    <w:rsid w:val="002D3654"/>
    <w:rsid w:val="002D64AD"/>
    <w:rsid w:val="002E038D"/>
    <w:rsid w:val="002E1109"/>
    <w:rsid w:val="002E3F04"/>
    <w:rsid w:val="002F592A"/>
    <w:rsid w:val="002F77FE"/>
    <w:rsid w:val="00315A27"/>
    <w:rsid w:val="00317F51"/>
    <w:rsid w:val="00321735"/>
    <w:rsid w:val="00322A23"/>
    <w:rsid w:val="00325DA8"/>
    <w:rsid w:val="00335E35"/>
    <w:rsid w:val="00345F53"/>
    <w:rsid w:val="00352937"/>
    <w:rsid w:val="003568A6"/>
    <w:rsid w:val="003621BF"/>
    <w:rsid w:val="0036290C"/>
    <w:rsid w:val="00362BE4"/>
    <w:rsid w:val="0037122C"/>
    <w:rsid w:val="00371B2A"/>
    <w:rsid w:val="003739E3"/>
    <w:rsid w:val="00376708"/>
    <w:rsid w:val="00377846"/>
    <w:rsid w:val="003A21F9"/>
    <w:rsid w:val="003A3088"/>
    <w:rsid w:val="003B0399"/>
    <w:rsid w:val="003B6897"/>
    <w:rsid w:val="003B706B"/>
    <w:rsid w:val="003C55D4"/>
    <w:rsid w:val="003C64BB"/>
    <w:rsid w:val="003C7BF1"/>
    <w:rsid w:val="00400068"/>
    <w:rsid w:val="00402F7F"/>
    <w:rsid w:val="00404348"/>
    <w:rsid w:val="00413E75"/>
    <w:rsid w:val="0041724D"/>
    <w:rsid w:val="00421610"/>
    <w:rsid w:val="0044724E"/>
    <w:rsid w:val="00460FC3"/>
    <w:rsid w:val="004626CF"/>
    <w:rsid w:val="00473067"/>
    <w:rsid w:val="0048008B"/>
    <w:rsid w:val="00483FF2"/>
    <w:rsid w:val="00487C1E"/>
    <w:rsid w:val="004A3214"/>
    <w:rsid w:val="004B5B3B"/>
    <w:rsid w:val="004B6270"/>
    <w:rsid w:val="004C11E9"/>
    <w:rsid w:val="004C5FE3"/>
    <w:rsid w:val="004F2455"/>
    <w:rsid w:val="004F2982"/>
    <w:rsid w:val="0051264C"/>
    <w:rsid w:val="00512FB0"/>
    <w:rsid w:val="00513507"/>
    <w:rsid w:val="00520CA1"/>
    <w:rsid w:val="00526D03"/>
    <w:rsid w:val="00530863"/>
    <w:rsid w:val="00537FFD"/>
    <w:rsid w:val="00546149"/>
    <w:rsid w:val="0055397D"/>
    <w:rsid w:val="0057280B"/>
    <w:rsid w:val="005849C6"/>
    <w:rsid w:val="00590D14"/>
    <w:rsid w:val="00594805"/>
    <w:rsid w:val="005A01F3"/>
    <w:rsid w:val="005B4507"/>
    <w:rsid w:val="005B4936"/>
    <w:rsid w:val="005B54F9"/>
    <w:rsid w:val="005C220F"/>
    <w:rsid w:val="005C51DC"/>
    <w:rsid w:val="005C652A"/>
    <w:rsid w:val="005C73F5"/>
    <w:rsid w:val="005F0A83"/>
    <w:rsid w:val="005F4DE5"/>
    <w:rsid w:val="00610110"/>
    <w:rsid w:val="006122A4"/>
    <w:rsid w:val="0062034F"/>
    <w:rsid w:val="0062057B"/>
    <w:rsid w:val="00623045"/>
    <w:rsid w:val="00624216"/>
    <w:rsid w:val="006403F5"/>
    <w:rsid w:val="00641AED"/>
    <w:rsid w:val="0065268B"/>
    <w:rsid w:val="00681304"/>
    <w:rsid w:val="00685E86"/>
    <w:rsid w:val="00690389"/>
    <w:rsid w:val="00690F32"/>
    <w:rsid w:val="006A5656"/>
    <w:rsid w:val="006C2B87"/>
    <w:rsid w:val="006C5943"/>
    <w:rsid w:val="006D5544"/>
    <w:rsid w:val="006D554A"/>
    <w:rsid w:val="006E24C3"/>
    <w:rsid w:val="006F5544"/>
    <w:rsid w:val="00703777"/>
    <w:rsid w:val="007057E1"/>
    <w:rsid w:val="007159E4"/>
    <w:rsid w:val="0071641C"/>
    <w:rsid w:val="00716B5F"/>
    <w:rsid w:val="007204F1"/>
    <w:rsid w:val="0072136A"/>
    <w:rsid w:val="00724ED3"/>
    <w:rsid w:val="007262B2"/>
    <w:rsid w:val="007477C1"/>
    <w:rsid w:val="00753385"/>
    <w:rsid w:val="00776F92"/>
    <w:rsid w:val="00793F63"/>
    <w:rsid w:val="00797AB1"/>
    <w:rsid w:val="007B233D"/>
    <w:rsid w:val="007C696B"/>
    <w:rsid w:val="007C6B13"/>
    <w:rsid w:val="007D2B9B"/>
    <w:rsid w:val="007E400F"/>
    <w:rsid w:val="007E61BD"/>
    <w:rsid w:val="007F17CD"/>
    <w:rsid w:val="007F3A5C"/>
    <w:rsid w:val="007F6B25"/>
    <w:rsid w:val="007F7105"/>
    <w:rsid w:val="00802D1A"/>
    <w:rsid w:val="008117E2"/>
    <w:rsid w:val="00815F2A"/>
    <w:rsid w:val="00825CC2"/>
    <w:rsid w:val="0083086A"/>
    <w:rsid w:val="00832005"/>
    <w:rsid w:val="00835CD8"/>
    <w:rsid w:val="00836ED1"/>
    <w:rsid w:val="0083708B"/>
    <w:rsid w:val="00846362"/>
    <w:rsid w:val="00847AE0"/>
    <w:rsid w:val="00855841"/>
    <w:rsid w:val="00885014"/>
    <w:rsid w:val="008A20DC"/>
    <w:rsid w:val="008A358D"/>
    <w:rsid w:val="008A428A"/>
    <w:rsid w:val="008B1BA3"/>
    <w:rsid w:val="008B3C57"/>
    <w:rsid w:val="008C42FD"/>
    <w:rsid w:val="008C6636"/>
    <w:rsid w:val="008D11ED"/>
    <w:rsid w:val="008D28AE"/>
    <w:rsid w:val="008D5362"/>
    <w:rsid w:val="008F1E7C"/>
    <w:rsid w:val="008F3EC9"/>
    <w:rsid w:val="008F56DE"/>
    <w:rsid w:val="008F6570"/>
    <w:rsid w:val="00910462"/>
    <w:rsid w:val="00917F4D"/>
    <w:rsid w:val="0096411A"/>
    <w:rsid w:val="00967CFA"/>
    <w:rsid w:val="00971726"/>
    <w:rsid w:val="00982100"/>
    <w:rsid w:val="00984B86"/>
    <w:rsid w:val="009872B0"/>
    <w:rsid w:val="00987D35"/>
    <w:rsid w:val="009A5A49"/>
    <w:rsid w:val="009C1512"/>
    <w:rsid w:val="009D4186"/>
    <w:rsid w:val="009D7941"/>
    <w:rsid w:val="009E1324"/>
    <w:rsid w:val="009E46F8"/>
    <w:rsid w:val="009F4904"/>
    <w:rsid w:val="009F7702"/>
    <w:rsid w:val="00A265BD"/>
    <w:rsid w:val="00A3342B"/>
    <w:rsid w:val="00A36871"/>
    <w:rsid w:val="00A43236"/>
    <w:rsid w:val="00A538CB"/>
    <w:rsid w:val="00A5546D"/>
    <w:rsid w:val="00A569DB"/>
    <w:rsid w:val="00A66AD0"/>
    <w:rsid w:val="00A67334"/>
    <w:rsid w:val="00A72714"/>
    <w:rsid w:val="00A8129F"/>
    <w:rsid w:val="00A95C6B"/>
    <w:rsid w:val="00AA5D94"/>
    <w:rsid w:val="00AB51AF"/>
    <w:rsid w:val="00AC116E"/>
    <w:rsid w:val="00AC60CA"/>
    <w:rsid w:val="00AD1D6E"/>
    <w:rsid w:val="00AD41B3"/>
    <w:rsid w:val="00AE2182"/>
    <w:rsid w:val="00AE3067"/>
    <w:rsid w:val="00AE3B08"/>
    <w:rsid w:val="00B0247B"/>
    <w:rsid w:val="00B038A6"/>
    <w:rsid w:val="00B11C16"/>
    <w:rsid w:val="00B2082E"/>
    <w:rsid w:val="00B2597B"/>
    <w:rsid w:val="00B4296B"/>
    <w:rsid w:val="00B448B1"/>
    <w:rsid w:val="00B52260"/>
    <w:rsid w:val="00B62B02"/>
    <w:rsid w:val="00B6505C"/>
    <w:rsid w:val="00B713C3"/>
    <w:rsid w:val="00B71DF6"/>
    <w:rsid w:val="00B86DCA"/>
    <w:rsid w:val="00BA2E8C"/>
    <w:rsid w:val="00BA5971"/>
    <w:rsid w:val="00BA5FF1"/>
    <w:rsid w:val="00BB658C"/>
    <w:rsid w:val="00C11FEF"/>
    <w:rsid w:val="00C22799"/>
    <w:rsid w:val="00C22A7B"/>
    <w:rsid w:val="00C2620D"/>
    <w:rsid w:val="00C32EBB"/>
    <w:rsid w:val="00C335CF"/>
    <w:rsid w:val="00C44E54"/>
    <w:rsid w:val="00C471DB"/>
    <w:rsid w:val="00C53C79"/>
    <w:rsid w:val="00C54EA8"/>
    <w:rsid w:val="00C551F4"/>
    <w:rsid w:val="00C82A83"/>
    <w:rsid w:val="00C82B5E"/>
    <w:rsid w:val="00CA11A2"/>
    <w:rsid w:val="00CA4173"/>
    <w:rsid w:val="00CA54CF"/>
    <w:rsid w:val="00CC4097"/>
    <w:rsid w:val="00CD0D00"/>
    <w:rsid w:val="00CD388F"/>
    <w:rsid w:val="00CF218A"/>
    <w:rsid w:val="00CF77F7"/>
    <w:rsid w:val="00D073DF"/>
    <w:rsid w:val="00D141B1"/>
    <w:rsid w:val="00D16AFB"/>
    <w:rsid w:val="00D2284F"/>
    <w:rsid w:val="00D41DF1"/>
    <w:rsid w:val="00D445B0"/>
    <w:rsid w:val="00D57202"/>
    <w:rsid w:val="00D63DCF"/>
    <w:rsid w:val="00D80785"/>
    <w:rsid w:val="00D86628"/>
    <w:rsid w:val="00D92606"/>
    <w:rsid w:val="00DA6677"/>
    <w:rsid w:val="00DA784D"/>
    <w:rsid w:val="00DB03A7"/>
    <w:rsid w:val="00DB5E40"/>
    <w:rsid w:val="00DD3477"/>
    <w:rsid w:val="00DE2EC5"/>
    <w:rsid w:val="00DE4432"/>
    <w:rsid w:val="00DF2A4A"/>
    <w:rsid w:val="00DF5185"/>
    <w:rsid w:val="00DF588E"/>
    <w:rsid w:val="00E1071E"/>
    <w:rsid w:val="00E33C98"/>
    <w:rsid w:val="00E34891"/>
    <w:rsid w:val="00E37C65"/>
    <w:rsid w:val="00E41770"/>
    <w:rsid w:val="00E46B65"/>
    <w:rsid w:val="00E65E14"/>
    <w:rsid w:val="00E72905"/>
    <w:rsid w:val="00E84384"/>
    <w:rsid w:val="00E869F8"/>
    <w:rsid w:val="00E91983"/>
    <w:rsid w:val="00E938CA"/>
    <w:rsid w:val="00E94802"/>
    <w:rsid w:val="00E95E3A"/>
    <w:rsid w:val="00EA4D67"/>
    <w:rsid w:val="00EC23C0"/>
    <w:rsid w:val="00EC6D06"/>
    <w:rsid w:val="00EE0B88"/>
    <w:rsid w:val="00EE241A"/>
    <w:rsid w:val="00EF62B1"/>
    <w:rsid w:val="00F06A00"/>
    <w:rsid w:val="00F06BF7"/>
    <w:rsid w:val="00F12D29"/>
    <w:rsid w:val="00F20BE6"/>
    <w:rsid w:val="00F23F80"/>
    <w:rsid w:val="00F24053"/>
    <w:rsid w:val="00F3066D"/>
    <w:rsid w:val="00F30B7C"/>
    <w:rsid w:val="00F3347B"/>
    <w:rsid w:val="00F44C3A"/>
    <w:rsid w:val="00F47409"/>
    <w:rsid w:val="00F61382"/>
    <w:rsid w:val="00F64E81"/>
    <w:rsid w:val="00F664A0"/>
    <w:rsid w:val="00F729E5"/>
    <w:rsid w:val="00F73B09"/>
    <w:rsid w:val="00F751E7"/>
    <w:rsid w:val="00F75801"/>
    <w:rsid w:val="00F82DE0"/>
    <w:rsid w:val="00FA026E"/>
    <w:rsid w:val="00FB060D"/>
    <w:rsid w:val="00FB1683"/>
    <w:rsid w:val="00FB39CA"/>
    <w:rsid w:val="00FB583F"/>
    <w:rsid w:val="00FB5AA8"/>
    <w:rsid w:val="00FD0C5C"/>
    <w:rsid w:val="00FD6713"/>
    <w:rsid w:val="00FD7DC2"/>
    <w:rsid w:val="00FE1B71"/>
    <w:rsid w:val="00FF62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65EAC"/>
  <w15:docId w15:val="{C75F15CC-431D-41B3-8A63-7EF074AC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62"/>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910462"/>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10462"/>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910462"/>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10462"/>
    <w:pPr>
      <w:keepNext/>
      <w:keepLines/>
      <w:spacing w:before="200" w:after="60"/>
      <w:outlineLvl w:val="3"/>
    </w:pPr>
    <w:rPr>
      <w:b/>
      <w:bCs/>
      <w:i/>
      <w:iCs/>
    </w:rPr>
  </w:style>
  <w:style w:type="paragraph" w:styleId="Heading5">
    <w:name w:val="heading 5"/>
    <w:aliases w:val="Para5"/>
    <w:basedOn w:val="Normal"/>
    <w:next w:val="Normal"/>
    <w:qFormat/>
    <w:rsid w:val="000348E6"/>
    <w:pPr>
      <w:numPr>
        <w:ilvl w:val="4"/>
        <w:numId w:val="6"/>
      </w:numPr>
      <w:spacing w:before="240" w:after="60"/>
      <w:outlineLvl w:val="4"/>
    </w:pPr>
    <w:rPr>
      <w:b/>
      <w:bCs/>
      <w:iCs/>
      <w:szCs w:val="26"/>
    </w:rPr>
  </w:style>
  <w:style w:type="paragraph" w:styleId="Heading6">
    <w:name w:val="heading 6"/>
    <w:basedOn w:val="Normal"/>
    <w:next w:val="Normal"/>
    <w:qFormat/>
    <w:rsid w:val="000348E6"/>
    <w:pPr>
      <w:numPr>
        <w:ilvl w:val="5"/>
        <w:numId w:val="6"/>
      </w:numPr>
      <w:spacing w:before="240" w:after="60"/>
      <w:outlineLvl w:val="5"/>
    </w:pPr>
    <w:rPr>
      <w:rFonts w:ascii="Times New Roman" w:hAnsi="Times New Roman"/>
      <w:b/>
      <w:bCs/>
    </w:rPr>
  </w:style>
  <w:style w:type="paragraph" w:styleId="Heading7">
    <w:name w:val="heading 7"/>
    <w:basedOn w:val="Normal"/>
    <w:next w:val="Normal"/>
    <w:qFormat/>
    <w:rsid w:val="000348E6"/>
    <w:pPr>
      <w:numPr>
        <w:ilvl w:val="6"/>
        <w:numId w:val="6"/>
      </w:numPr>
      <w:spacing w:before="240" w:after="60"/>
      <w:outlineLvl w:val="6"/>
    </w:pPr>
    <w:rPr>
      <w:rFonts w:ascii="Times New Roman" w:hAnsi="Times New Roman"/>
      <w:sz w:val="24"/>
    </w:rPr>
  </w:style>
  <w:style w:type="paragraph" w:styleId="Heading8">
    <w:name w:val="heading 8"/>
    <w:basedOn w:val="Normal"/>
    <w:next w:val="Normal"/>
    <w:qFormat/>
    <w:rsid w:val="000348E6"/>
    <w:pPr>
      <w:numPr>
        <w:ilvl w:val="7"/>
        <w:numId w:val="6"/>
      </w:numPr>
      <w:spacing w:before="240" w:after="60"/>
      <w:outlineLvl w:val="7"/>
    </w:pPr>
    <w:rPr>
      <w:rFonts w:ascii="Times New Roman" w:hAnsi="Times New Roman"/>
      <w:i/>
      <w:iCs/>
      <w:sz w:val="24"/>
    </w:rPr>
  </w:style>
  <w:style w:type="paragraph" w:styleId="Heading9">
    <w:name w:val="heading 9"/>
    <w:basedOn w:val="Normal"/>
    <w:next w:val="Normal"/>
    <w:qFormat/>
    <w:rsid w:val="000348E6"/>
    <w:pPr>
      <w:numPr>
        <w:ilvl w:val="8"/>
        <w:numId w:val="6"/>
      </w:numPr>
      <w:spacing w:before="240" w:after="60"/>
      <w:outlineLvl w:val="8"/>
    </w:pPr>
    <w:rPr>
      <w:rFonts w:cs="Arial"/>
    </w:rPr>
  </w:style>
  <w:style w:type="character" w:default="1" w:styleId="DefaultParagraphFont">
    <w:name w:val="Default Paragraph Font"/>
    <w:uiPriority w:val="1"/>
    <w:semiHidden/>
    <w:unhideWhenUsed/>
    <w:rsid w:val="009104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0462"/>
  </w:style>
  <w:style w:type="paragraph" w:customStyle="1" w:styleId="TextLevel3">
    <w:name w:val="Text Level 3"/>
    <w:basedOn w:val="Heading3"/>
    <w:pPr>
      <w:spacing w:before="0"/>
    </w:pPr>
    <w:rPr>
      <w:b w:val="0"/>
    </w:rPr>
  </w:style>
  <w:style w:type="paragraph" w:customStyle="1" w:styleId="TextLevel4">
    <w:name w:val="Text Level 4"/>
    <w:basedOn w:val="Heading4"/>
    <w:pPr>
      <w:spacing w:before="0"/>
    </w:pPr>
    <w:rPr>
      <w:b w:val="0"/>
    </w:rPr>
  </w:style>
  <w:style w:type="paragraph" w:customStyle="1" w:styleId="TextLevel5">
    <w:name w:val="Text Level 5"/>
    <w:basedOn w:val="Heading5"/>
    <w:pPr>
      <w:spacing w:before="0"/>
    </w:pPr>
    <w:rPr>
      <w:b w:val="0"/>
    </w:rPr>
  </w:style>
  <w:style w:type="paragraph" w:customStyle="1" w:styleId="Note">
    <w:name w:val="Note"/>
    <w:basedOn w:val="Normal"/>
    <w:rPr>
      <w:b/>
      <w:i/>
    </w:rPr>
  </w:style>
  <w:style w:type="paragraph" w:customStyle="1" w:styleId="Notespara">
    <w:name w:val="Note spara"/>
    <w:basedOn w:val="Normal"/>
    <w:pPr>
      <w:numPr>
        <w:numId w:val="1"/>
      </w:numPr>
    </w:pPr>
    <w:rPr>
      <w:b/>
      <w:i/>
    </w:rPr>
  </w:style>
  <w:style w:type="paragraph" w:customStyle="1" w:styleId="spara">
    <w:name w:val="spara"/>
    <w:basedOn w:val="Normal"/>
  </w:style>
  <w:style w:type="paragraph" w:customStyle="1" w:styleId="TextNoNumber">
    <w:name w:val="Text No Number"/>
    <w:basedOn w:val="TextLevel3"/>
    <w:pPr>
      <w:ind w:left="851"/>
      <w:outlineLvl w:val="9"/>
    </w:pPr>
  </w:style>
  <w:style w:type="paragraph" w:styleId="Header">
    <w:name w:val="header"/>
    <w:basedOn w:val="Normal"/>
    <w:semiHidden/>
    <w:pPr>
      <w:numPr>
        <w:numId w:val="2"/>
      </w:num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customStyle="1" w:styleId="DIDText">
    <w:name w:val="DID Text"/>
    <w:basedOn w:val="TextLevel3"/>
    <w:pPr>
      <w:keepNext w:val="0"/>
      <w:ind w:left="851"/>
    </w:pPr>
  </w:style>
  <w:style w:type="character" w:styleId="CommentReference">
    <w:name w:val="annotation reference"/>
    <w:semiHidden/>
    <w:rPr>
      <w:sz w:val="16"/>
    </w:rPr>
  </w:style>
  <w:style w:type="paragraph" w:styleId="CommentText">
    <w:name w:val="annotation text"/>
    <w:basedOn w:val="Normal"/>
    <w:semiHidden/>
  </w:style>
  <w:style w:type="paragraph" w:styleId="Title">
    <w:name w:val="Title"/>
    <w:basedOn w:val="Normal"/>
    <w:next w:val="Normal"/>
    <w:link w:val="TitleChar"/>
    <w:qFormat/>
    <w:rsid w:val="00910462"/>
    <w:pPr>
      <w:spacing w:before="240" w:after="60"/>
      <w:jc w:val="center"/>
      <w:outlineLvl w:val="0"/>
    </w:pPr>
    <w:rPr>
      <w:rFonts w:ascii="Calibri Light" w:hAnsi="Calibri Light"/>
      <w:b/>
      <w:bCs/>
      <w:kern w:val="28"/>
      <w:sz w:val="32"/>
      <w:szCs w:val="32"/>
    </w:rPr>
  </w:style>
  <w:style w:type="paragraph" w:styleId="BalloonText">
    <w:name w:val="Balloon Text"/>
    <w:basedOn w:val="Normal"/>
    <w:semiHidden/>
    <w:rPr>
      <w:rFonts w:ascii="Tahoma" w:hAnsi="Tahoma" w:cs="Tahoma"/>
      <w:sz w:val="16"/>
      <w:szCs w:val="16"/>
    </w:rPr>
  </w:style>
  <w:style w:type="paragraph" w:customStyle="1" w:styleId="SOWText">
    <w:name w:val="SOW Text"/>
    <w:basedOn w:val="Normal"/>
    <w:pPr>
      <w:tabs>
        <w:tab w:val="left" w:pos="851"/>
        <w:tab w:val="left" w:pos="1418"/>
        <w:tab w:val="left" w:pos="1985"/>
      </w:tabs>
      <w:spacing w:before="240" w:after="0"/>
    </w:pPr>
  </w:style>
  <w:style w:type="paragraph" w:styleId="CommentSubject">
    <w:name w:val="annotation subject"/>
    <w:basedOn w:val="CommentText"/>
    <w:next w:val="CommentText"/>
    <w:semiHidden/>
    <w:rPr>
      <w:b/>
      <w:bCs/>
    </w:rPr>
  </w:style>
  <w:style w:type="table" w:styleId="TableGrid">
    <w:name w:val="Table Grid"/>
    <w:basedOn w:val="TableNormal"/>
    <w:rsid w:val="000348E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910462"/>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910462"/>
    <w:pPr>
      <w:tabs>
        <w:tab w:val="right" w:leader="dot" w:pos="9072"/>
      </w:tabs>
      <w:spacing w:after="60"/>
      <w:ind w:left="1134" w:hanging="567"/>
    </w:pPr>
    <w:rPr>
      <w:rFonts w:ascii="Arial" w:hAnsi="Arial" w:cs="Arial"/>
      <w:szCs w:val="24"/>
    </w:rPr>
  </w:style>
  <w:style w:type="paragraph" w:styleId="BodyText">
    <w:name w:val="Body Text"/>
    <w:basedOn w:val="Normal"/>
    <w:link w:val="BodyTextChar"/>
    <w:rsid w:val="000348E6"/>
  </w:style>
  <w:style w:type="character" w:customStyle="1" w:styleId="BodyTextChar">
    <w:name w:val="Body Text Char"/>
    <w:link w:val="BodyText"/>
    <w:rsid w:val="00093879"/>
    <w:rPr>
      <w:rFonts w:ascii="Arial" w:eastAsia="Calibri" w:hAnsi="Arial"/>
      <w:szCs w:val="22"/>
      <w:lang w:val="en-AU" w:eastAsia="en-US" w:bidi="ar-SA"/>
    </w:rPr>
  </w:style>
  <w:style w:type="paragraph" w:customStyle="1" w:styleId="Style1">
    <w:name w:val="Style1"/>
    <w:basedOn w:val="Heading4"/>
    <w:rsid w:val="000348E6"/>
    <w:rPr>
      <w:b w:val="0"/>
    </w:rPr>
  </w:style>
  <w:style w:type="paragraph" w:styleId="EndnoteText">
    <w:name w:val="endnote text"/>
    <w:basedOn w:val="Normal"/>
    <w:link w:val="EndnoteTextChar"/>
    <w:semiHidden/>
    <w:rsid w:val="000348E6"/>
    <w:rPr>
      <w:szCs w:val="20"/>
    </w:rPr>
  </w:style>
  <w:style w:type="character" w:customStyle="1" w:styleId="EndnoteTextChar">
    <w:name w:val="Endnote Text Char"/>
    <w:link w:val="EndnoteText"/>
    <w:semiHidden/>
    <w:rsid w:val="00093879"/>
    <w:rPr>
      <w:rFonts w:ascii="Arial" w:eastAsia="Calibri" w:hAnsi="Arial"/>
      <w:lang w:val="en-AU" w:eastAsia="en-US" w:bidi="ar-SA"/>
    </w:rPr>
  </w:style>
  <w:style w:type="paragraph" w:customStyle="1" w:styleId="Indentlist">
    <w:name w:val="Indent list"/>
    <w:basedOn w:val="Normal"/>
    <w:rsid w:val="001E1EF1"/>
    <w:pPr>
      <w:numPr>
        <w:numId w:val="5"/>
      </w:numPr>
      <w:tabs>
        <w:tab w:val="left" w:pos="1701"/>
      </w:tabs>
    </w:pPr>
  </w:style>
  <w:style w:type="paragraph" w:customStyle="1" w:styleId="COTCOCLV2-ASDEFCON">
    <w:name w:val="COT/COC LV2 - ASDEFCON"/>
    <w:basedOn w:val="ASDEFCONNormal"/>
    <w:next w:val="COTCOCLV3-ASDEFCON"/>
    <w:rsid w:val="00910462"/>
    <w:pPr>
      <w:keepNext/>
      <w:keepLines/>
      <w:numPr>
        <w:ilvl w:val="1"/>
        <w:numId w:val="7"/>
      </w:numPr>
      <w:pBdr>
        <w:bottom w:val="single" w:sz="4" w:space="1" w:color="auto"/>
      </w:pBdr>
    </w:pPr>
    <w:rPr>
      <w:b/>
    </w:rPr>
  </w:style>
  <w:style w:type="paragraph" w:customStyle="1" w:styleId="ASDEFCONNormal">
    <w:name w:val="ASDEFCON Normal"/>
    <w:link w:val="ASDEFCONNormalChar"/>
    <w:rsid w:val="00910462"/>
    <w:pPr>
      <w:spacing w:after="120"/>
      <w:jc w:val="both"/>
    </w:pPr>
    <w:rPr>
      <w:rFonts w:ascii="Arial" w:hAnsi="Arial"/>
      <w:color w:val="000000"/>
      <w:szCs w:val="40"/>
    </w:rPr>
  </w:style>
  <w:style w:type="character" w:customStyle="1" w:styleId="ASDEFCONNormalChar">
    <w:name w:val="ASDEFCON Normal Char"/>
    <w:link w:val="ASDEFCONNormal"/>
    <w:rsid w:val="00910462"/>
    <w:rPr>
      <w:rFonts w:ascii="Arial" w:hAnsi="Arial"/>
      <w:color w:val="000000"/>
      <w:szCs w:val="40"/>
    </w:rPr>
  </w:style>
  <w:style w:type="paragraph" w:customStyle="1" w:styleId="COTCOCLV3-ASDEFCON">
    <w:name w:val="COT/COC LV3 - ASDEFCON"/>
    <w:basedOn w:val="ASDEFCONNormal"/>
    <w:rsid w:val="00910462"/>
    <w:pPr>
      <w:numPr>
        <w:ilvl w:val="2"/>
        <w:numId w:val="7"/>
      </w:numPr>
    </w:pPr>
  </w:style>
  <w:style w:type="paragraph" w:customStyle="1" w:styleId="COTCOCLV1-ASDEFCON">
    <w:name w:val="COT/COC LV1 - ASDEFCON"/>
    <w:basedOn w:val="ASDEFCONNormal"/>
    <w:next w:val="COTCOCLV2-ASDEFCON"/>
    <w:rsid w:val="00910462"/>
    <w:pPr>
      <w:keepNext/>
      <w:keepLines/>
      <w:numPr>
        <w:numId w:val="7"/>
      </w:numPr>
      <w:spacing w:before="240"/>
    </w:pPr>
    <w:rPr>
      <w:b/>
      <w:caps/>
    </w:rPr>
  </w:style>
  <w:style w:type="paragraph" w:customStyle="1" w:styleId="COTCOCLV4-ASDEFCON">
    <w:name w:val="COT/COC LV4 - ASDEFCON"/>
    <w:basedOn w:val="ASDEFCONNormal"/>
    <w:rsid w:val="00910462"/>
    <w:pPr>
      <w:numPr>
        <w:ilvl w:val="3"/>
        <w:numId w:val="7"/>
      </w:numPr>
    </w:pPr>
  </w:style>
  <w:style w:type="paragraph" w:customStyle="1" w:styleId="COTCOCLV5-ASDEFCON">
    <w:name w:val="COT/COC LV5 - ASDEFCON"/>
    <w:basedOn w:val="ASDEFCONNormal"/>
    <w:rsid w:val="00910462"/>
    <w:pPr>
      <w:numPr>
        <w:ilvl w:val="4"/>
        <w:numId w:val="7"/>
      </w:numPr>
    </w:pPr>
  </w:style>
  <w:style w:type="paragraph" w:customStyle="1" w:styleId="COTCOCLV6-ASDEFCON">
    <w:name w:val="COT/COC LV6 - ASDEFCON"/>
    <w:basedOn w:val="ASDEFCONNormal"/>
    <w:rsid w:val="00910462"/>
    <w:pPr>
      <w:keepLines/>
      <w:numPr>
        <w:ilvl w:val="5"/>
        <w:numId w:val="7"/>
      </w:numPr>
    </w:pPr>
  </w:style>
  <w:style w:type="paragraph" w:customStyle="1" w:styleId="ASDEFCONOption">
    <w:name w:val="ASDEFCON Option"/>
    <w:basedOn w:val="ASDEFCONNormal"/>
    <w:rsid w:val="00910462"/>
    <w:pPr>
      <w:keepNext/>
      <w:spacing w:before="60"/>
    </w:pPr>
    <w:rPr>
      <w:b/>
      <w:i/>
      <w:szCs w:val="24"/>
    </w:rPr>
  </w:style>
  <w:style w:type="paragraph" w:customStyle="1" w:styleId="NoteToDrafters-ASDEFCON">
    <w:name w:val="Note To Drafters - ASDEFCON"/>
    <w:basedOn w:val="ASDEFCONNormal"/>
    <w:rsid w:val="00910462"/>
    <w:pPr>
      <w:keepNext/>
      <w:shd w:val="clear" w:color="auto" w:fill="000000"/>
    </w:pPr>
    <w:rPr>
      <w:b/>
      <w:i/>
      <w:color w:val="FFFFFF"/>
    </w:rPr>
  </w:style>
  <w:style w:type="paragraph" w:customStyle="1" w:styleId="NoteToTenderers-ASDEFCON">
    <w:name w:val="Note To Tenderers - ASDEFCON"/>
    <w:basedOn w:val="ASDEFCONNormal"/>
    <w:rsid w:val="00910462"/>
    <w:pPr>
      <w:keepNext/>
      <w:shd w:val="pct15" w:color="auto" w:fill="auto"/>
    </w:pPr>
    <w:rPr>
      <w:b/>
      <w:i/>
    </w:rPr>
  </w:style>
  <w:style w:type="paragraph" w:customStyle="1" w:styleId="ASDEFCONTitle">
    <w:name w:val="ASDEFCON Title"/>
    <w:basedOn w:val="Normal"/>
    <w:rsid w:val="00910462"/>
    <w:pPr>
      <w:keepLines/>
      <w:spacing w:before="240"/>
      <w:jc w:val="center"/>
    </w:pPr>
    <w:rPr>
      <w:b/>
      <w:caps/>
    </w:rPr>
  </w:style>
  <w:style w:type="paragraph" w:customStyle="1" w:styleId="ATTANNLV1-ASDEFCON">
    <w:name w:val="ATT/ANN LV1 - ASDEFCON"/>
    <w:basedOn w:val="ASDEFCONNormal"/>
    <w:next w:val="ATTANNLV2-ASDEFCON"/>
    <w:rsid w:val="00910462"/>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10462"/>
    <w:pPr>
      <w:numPr>
        <w:ilvl w:val="1"/>
        <w:numId w:val="26"/>
      </w:numPr>
    </w:pPr>
    <w:rPr>
      <w:szCs w:val="24"/>
    </w:rPr>
  </w:style>
  <w:style w:type="character" w:customStyle="1" w:styleId="ATTANNLV2-ASDEFCONChar">
    <w:name w:val="ATT/ANN LV2 - ASDEFCON Char"/>
    <w:link w:val="ATTANNLV2-ASDEFCON"/>
    <w:rsid w:val="00910462"/>
    <w:rPr>
      <w:rFonts w:ascii="Arial" w:hAnsi="Arial"/>
      <w:color w:val="000000"/>
      <w:szCs w:val="24"/>
    </w:rPr>
  </w:style>
  <w:style w:type="paragraph" w:customStyle="1" w:styleId="ATTANNLV3-ASDEFCON">
    <w:name w:val="ATT/ANN LV3 - ASDEFCON"/>
    <w:basedOn w:val="ASDEFCONNormal"/>
    <w:rsid w:val="00910462"/>
    <w:pPr>
      <w:numPr>
        <w:ilvl w:val="2"/>
        <w:numId w:val="26"/>
      </w:numPr>
    </w:pPr>
    <w:rPr>
      <w:szCs w:val="24"/>
    </w:rPr>
  </w:style>
  <w:style w:type="paragraph" w:customStyle="1" w:styleId="ATTANNLV4-ASDEFCON">
    <w:name w:val="ATT/ANN LV4 - ASDEFCON"/>
    <w:basedOn w:val="ASDEFCONNormal"/>
    <w:rsid w:val="00910462"/>
    <w:pPr>
      <w:numPr>
        <w:ilvl w:val="3"/>
        <w:numId w:val="26"/>
      </w:numPr>
    </w:pPr>
    <w:rPr>
      <w:szCs w:val="24"/>
    </w:rPr>
  </w:style>
  <w:style w:type="paragraph" w:customStyle="1" w:styleId="ASDEFCONCoverTitle">
    <w:name w:val="ASDEFCON Cover Title"/>
    <w:rsid w:val="00910462"/>
    <w:pPr>
      <w:jc w:val="center"/>
    </w:pPr>
    <w:rPr>
      <w:rFonts w:ascii="Georgia" w:hAnsi="Georgia"/>
      <w:b/>
      <w:color w:val="000000"/>
      <w:sz w:val="100"/>
      <w:szCs w:val="24"/>
    </w:rPr>
  </w:style>
  <w:style w:type="paragraph" w:customStyle="1" w:styleId="ASDEFCONHeaderFooterLeft">
    <w:name w:val="ASDEFCON Header/Footer Left"/>
    <w:basedOn w:val="ASDEFCONNormal"/>
    <w:rsid w:val="00910462"/>
    <w:pPr>
      <w:spacing w:after="0"/>
      <w:jc w:val="left"/>
    </w:pPr>
    <w:rPr>
      <w:sz w:val="16"/>
      <w:szCs w:val="24"/>
    </w:rPr>
  </w:style>
  <w:style w:type="paragraph" w:customStyle="1" w:styleId="ASDEFCONCoverPageIncorp">
    <w:name w:val="ASDEFCON Cover Page Incorp"/>
    <w:rsid w:val="0091046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10462"/>
    <w:rPr>
      <w:b/>
      <w:i/>
    </w:rPr>
  </w:style>
  <w:style w:type="paragraph" w:customStyle="1" w:styleId="COTCOCLV2NONUM-ASDEFCON">
    <w:name w:val="COT/COC LV2 NONUM - ASDEFCON"/>
    <w:basedOn w:val="COTCOCLV2-ASDEFCON"/>
    <w:next w:val="COTCOCLV3-ASDEFCON"/>
    <w:rsid w:val="0091046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10462"/>
    <w:pPr>
      <w:keepNext w:val="0"/>
      <w:numPr>
        <w:numId w:val="0"/>
      </w:numPr>
      <w:ind w:left="851"/>
    </w:pPr>
    <w:rPr>
      <w:bCs/>
      <w:szCs w:val="20"/>
    </w:rPr>
  </w:style>
  <w:style w:type="paragraph" w:customStyle="1" w:styleId="COTCOCLV3NONUM-ASDEFCON">
    <w:name w:val="COT/COC LV3 NONUM - ASDEFCON"/>
    <w:basedOn w:val="COTCOCLV3-ASDEFCON"/>
    <w:next w:val="COTCOCLV3-ASDEFCON"/>
    <w:rsid w:val="00910462"/>
    <w:pPr>
      <w:numPr>
        <w:ilvl w:val="0"/>
        <w:numId w:val="0"/>
      </w:numPr>
      <w:ind w:left="851"/>
    </w:pPr>
    <w:rPr>
      <w:szCs w:val="20"/>
    </w:rPr>
  </w:style>
  <w:style w:type="paragraph" w:customStyle="1" w:styleId="COTCOCLV4NONUM-ASDEFCON">
    <w:name w:val="COT/COC LV4 NONUM - ASDEFCON"/>
    <w:basedOn w:val="COTCOCLV4-ASDEFCON"/>
    <w:next w:val="COTCOCLV4-ASDEFCON"/>
    <w:rsid w:val="00910462"/>
    <w:pPr>
      <w:numPr>
        <w:ilvl w:val="0"/>
        <w:numId w:val="0"/>
      </w:numPr>
      <w:ind w:left="1418"/>
    </w:pPr>
    <w:rPr>
      <w:szCs w:val="20"/>
    </w:rPr>
  </w:style>
  <w:style w:type="paragraph" w:customStyle="1" w:styleId="COTCOCLV5NONUM-ASDEFCON">
    <w:name w:val="COT/COC LV5 NONUM - ASDEFCON"/>
    <w:basedOn w:val="COTCOCLV5-ASDEFCON"/>
    <w:next w:val="COTCOCLV5-ASDEFCON"/>
    <w:rsid w:val="00910462"/>
    <w:pPr>
      <w:numPr>
        <w:ilvl w:val="0"/>
        <w:numId w:val="0"/>
      </w:numPr>
      <w:ind w:left="1985"/>
    </w:pPr>
    <w:rPr>
      <w:szCs w:val="20"/>
    </w:rPr>
  </w:style>
  <w:style w:type="paragraph" w:customStyle="1" w:styleId="COTCOCLV6NONUM-ASDEFCON">
    <w:name w:val="COT/COC LV6 NONUM - ASDEFCON"/>
    <w:basedOn w:val="COTCOCLV6-ASDEFCON"/>
    <w:next w:val="COTCOCLV6-ASDEFCON"/>
    <w:rsid w:val="00910462"/>
    <w:pPr>
      <w:numPr>
        <w:ilvl w:val="0"/>
        <w:numId w:val="0"/>
      </w:numPr>
      <w:ind w:left="2552"/>
    </w:pPr>
    <w:rPr>
      <w:szCs w:val="20"/>
    </w:rPr>
  </w:style>
  <w:style w:type="paragraph" w:customStyle="1" w:styleId="ATTANNLV1NONUM-ASDEFCON">
    <w:name w:val="ATT/ANN LV1 NONUM - ASDEFCON"/>
    <w:basedOn w:val="ATTANNLV1-ASDEFCON"/>
    <w:next w:val="ATTANNLV2-ASDEFCON"/>
    <w:rsid w:val="00910462"/>
    <w:pPr>
      <w:numPr>
        <w:numId w:val="0"/>
      </w:numPr>
      <w:ind w:left="851"/>
    </w:pPr>
    <w:rPr>
      <w:bCs/>
      <w:szCs w:val="20"/>
    </w:rPr>
  </w:style>
  <w:style w:type="paragraph" w:customStyle="1" w:styleId="ATTANNLV2NONUM-ASDEFCON">
    <w:name w:val="ATT/ANN LV2 NONUM - ASDEFCON"/>
    <w:basedOn w:val="ATTANNLV2-ASDEFCON"/>
    <w:next w:val="ATTANNLV2-ASDEFCON"/>
    <w:rsid w:val="00910462"/>
    <w:pPr>
      <w:numPr>
        <w:ilvl w:val="0"/>
        <w:numId w:val="0"/>
      </w:numPr>
      <w:ind w:left="851"/>
    </w:pPr>
    <w:rPr>
      <w:szCs w:val="20"/>
    </w:rPr>
  </w:style>
  <w:style w:type="paragraph" w:customStyle="1" w:styleId="ATTANNLV3NONUM-ASDEFCON">
    <w:name w:val="ATT/ANN LV3 NONUM - ASDEFCON"/>
    <w:basedOn w:val="ATTANNLV3-ASDEFCON"/>
    <w:next w:val="ATTANNLV3-ASDEFCON"/>
    <w:rsid w:val="00910462"/>
    <w:pPr>
      <w:numPr>
        <w:ilvl w:val="0"/>
        <w:numId w:val="0"/>
      </w:numPr>
      <w:ind w:left="1418"/>
    </w:pPr>
    <w:rPr>
      <w:szCs w:val="20"/>
    </w:rPr>
  </w:style>
  <w:style w:type="paragraph" w:customStyle="1" w:styleId="ATTANNLV4NONUM-ASDEFCON">
    <w:name w:val="ATT/ANN LV4 NONUM - ASDEFCON"/>
    <w:basedOn w:val="ATTANNLV4-ASDEFCON"/>
    <w:next w:val="ATTANNLV4-ASDEFCON"/>
    <w:rsid w:val="00910462"/>
    <w:pPr>
      <w:numPr>
        <w:ilvl w:val="0"/>
        <w:numId w:val="0"/>
      </w:numPr>
      <w:ind w:left="1985"/>
    </w:pPr>
    <w:rPr>
      <w:szCs w:val="20"/>
    </w:rPr>
  </w:style>
  <w:style w:type="paragraph" w:customStyle="1" w:styleId="NoteToDraftersBullets-ASDEFCON">
    <w:name w:val="Note To Drafters Bullets - ASDEFCON"/>
    <w:basedOn w:val="NoteToDrafters-ASDEFCON"/>
    <w:rsid w:val="00910462"/>
    <w:pPr>
      <w:numPr>
        <w:numId w:val="8"/>
      </w:numPr>
    </w:pPr>
    <w:rPr>
      <w:bCs/>
      <w:iCs/>
      <w:szCs w:val="20"/>
    </w:rPr>
  </w:style>
  <w:style w:type="paragraph" w:customStyle="1" w:styleId="NoteToDraftersList-ASDEFCON">
    <w:name w:val="Note To Drafters List - ASDEFCON"/>
    <w:basedOn w:val="NoteToDrafters-ASDEFCON"/>
    <w:rsid w:val="00910462"/>
    <w:pPr>
      <w:numPr>
        <w:numId w:val="9"/>
      </w:numPr>
    </w:pPr>
    <w:rPr>
      <w:bCs/>
      <w:iCs/>
      <w:szCs w:val="20"/>
    </w:rPr>
  </w:style>
  <w:style w:type="paragraph" w:customStyle="1" w:styleId="NoteToTenderersBullets-ASDEFCON">
    <w:name w:val="Note To Tenderers Bullets - ASDEFCON"/>
    <w:basedOn w:val="NoteToTenderers-ASDEFCON"/>
    <w:rsid w:val="00910462"/>
    <w:pPr>
      <w:numPr>
        <w:numId w:val="10"/>
      </w:numPr>
    </w:pPr>
    <w:rPr>
      <w:bCs/>
      <w:iCs/>
      <w:szCs w:val="20"/>
    </w:rPr>
  </w:style>
  <w:style w:type="paragraph" w:customStyle="1" w:styleId="NoteToTenderersList-ASDEFCON">
    <w:name w:val="Note To Tenderers List - ASDEFCON"/>
    <w:basedOn w:val="NoteToTenderers-ASDEFCON"/>
    <w:rsid w:val="00910462"/>
    <w:pPr>
      <w:numPr>
        <w:numId w:val="11"/>
      </w:numPr>
    </w:pPr>
    <w:rPr>
      <w:bCs/>
      <w:iCs/>
      <w:szCs w:val="20"/>
    </w:rPr>
  </w:style>
  <w:style w:type="paragraph" w:customStyle="1" w:styleId="SOWHL1-ASDEFCON">
    <w:name w:val="SOW HL1 - ASDEFCON"/>
    <w:basedOn w:val="ASDEFCONNormal"/>
    <w:next w:val="SOWHL2-ASDEFCON"/>
    <w:qFormat/>
    <w:rsid w:val="00910462"/>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10462"/>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10462"/>
    <w:pPr>
      <w:keepNext/>
      <w:numPr>
        <w:ilvl w:val="2"/>
        <w:numId w:val="3"/>
      </w:numPr>
    </w:pPr>
    <w:rPr>
      <w:rFonts w:eastAsia="Calibri"/>
      <w:b/>
      <w:szCs w:val="22"/>
      <w:lang w:eastAsia="en-US"/>
    </w:rPr>
  </w:style>
  <w:style w:type="paragraph" w:customStyle="1" w:styleId="SOWHL4-ASDEFCON">
    <w:name w:val="SOW HL4 - ASDEFCON"/>
    <w:basedOn w:val="ASDEFCONNormal"/>
    <w:qFormat/>
    <w:rsid w:val="00910462"/>
    <w:pPr>
      <w:keepNext/>
      <w:numPr>
        <w:ilvl w:val="3"/>
        <w:numId w:val="3"/>
      </w:numPr>
    </w:pPr>
    <w:rPr>
      <w:rFonts w:eastAsia="Calibri"/>
      <w:b/>
      <w:szCs w:val="22"/>
      <w:lang w:eastAsia="en-US"/>
    </w:rPr>
  </w:style>
  <w:style w:type="paragraph" w:customStyle="1" w:styleId="SOWHL5-ASDEFCON">
    <w:name w:val="SOW HL5 - ASDEFCON"/>
    <w:basedOn w:val="ASDEFCONNormal"/>
    <w:qFormat/>
    <w:rsid w:val="00910462"/>
    <w:pPr>
      <w:keepNext/>
      <w:numPr>
        <w:ilvl w:val="4"/>
        <w:numId w:val="3"/>
      </w:numPr>
    </w:pPr>
    <w:rPr>
      <w:rFonts w:eastAsia="Calibri"/>
      <w:b/>
      <w:szCs w:val="22"/>
      <w:lang w:eastAsia="en-US"/>
    </w:rPr>
  </w:style>
  <w:style w:type="paragraph" w:customStyle="1" w:styleId="SOWSubL1-ASDEFCON">
    <w:name w:val="SOW SubL1 - ASDEFCON"/>
    <w:basedOn w:val="ASDEFCONNormal"/>
    <w:qFormat/>
    <w:rsid w:val="00910462"/>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91046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10462"/>
    <w:pPr>
      <w:numPr>
        <w:ilvl w:val="0"/>
        <w:numId w:val="0"/>
      </w:numPr>
      <w:ind w:left="1134"/>
    </w:pPr>
    <w:rPr>
      <w:rFonts w:eastAsia="Times New Roman"/>
      <w:bCs/>
      <w:szCs w:val="20"/>
    </w:rPr>
  </w:style>
  <w:style w:type="paragraph" w:customStyle="1" w:styleId="SOWTL2-ASDEFCON">
    <w:name w:val="SOW TL2 - ASDEFCON"/>
    <w:basedOn w:val="SOWHL2-ASDEFCON"/>
    <w:rsid w:val="00910462"/>
    <w:pPr>
      <w:keepNext w:val="0"/>
      <w:pBdr>
        <w:bottom w:val="none" w:sz="0" w:space="0" w:color="auto"/>
      </w:pBdr>
    </w:pPr>
    <w:rPr>
      <w:b w:val="0"/>
    </w:rPr>
  </w:style>
  <w:style w:type="paragraph" w:customStyle="1" w:styleId="SOWTL3NONUM-ASDEFCON">
    <w:name w:val="SOW TL3 NONUM - ASDEFCON"/>
    <w:basedOn w:val="SOWTL3-ASDEFCON"/>
    <w:next w:val="SOWTL3-ASDEFCON"/>
    <w:rsid w:val="00910462"/>
    <w:pPr>
      <w:numPr>
        <w:ilvl w:val="0"/>
        <w:numId w:val="0"/>
      </w:numPr>
      <w:ind w:left="1134"/>
    </w:pPr>
    <w:rPr>
      <w:rFonts w:eastAsia="Times New Roman"/>
      <w:bCs/>
      <w:szCs w:val="20"/>
    </w:rPr>
  </w:style>
  <w:style w:type="paragraph" w:customStyle="1" w:styleId="SOWTL3-ASDEFCON">
    <w:name w:val="SOW TL3 - ASDEFCON"/>
    <w:basedOn w:val="SOWHL3-ASDEFCON"/>
    <w:rsid w:val="00910462"/>
    <w:pPr>
      <w:keepNext w:val="0"/>
    </w:pPr>
    <w:rPr>
      <w:b w:val="0"/>
    </w:rPr>
  </w:style>
  <w:style w:type="paragraph" w:customStyle="1" w:styleId="SOWTL4NONUM-ASDEFCON">
    <w:name w:val="SOW TL4 NONUM - ASDEFCON"/>
    <w:basedOn w:val="SOWTL4-ASDEFCON"/>
    <w:next w:val="SOWTL4-ASDEFCON"/>
    <w:rsid w:val="00910462"/>
    <w:pPr>
      <w:numPr>
        <w:ilvl w:val="0"/>
        <w:numId w:val="0"/>
      </w:numPr>
      <w:ind w:left="1134"/>
    </w:pPr>
    <w:rPr>
      <w:rFonts w:eastAsia="Times New Roman"/>
      <w:bCs/>
      <w:szCs w:val="20"/>
    </w:rPr>
  </w:style>
  <w:style w:type="paragraph" w:customStyle="1" w:styleId="SOWTL4-ASDEFCON">
    <w:name w:val="SOW TL4 - ASDEFCON"/>
    <w:basedOn w:val="SOWHL4-ASDEFCON"/>
    <w:rsid w:val="00910462"/>
    <w:pPr>
      <w:keepNext w:val="0"/>
    </w:pPr>
    <w:rPr>
      <w:b w:val="0"/>
    </w:rPr>
  </w:style>
  <w:style w:type="paragraph" w:customStyle="1" w:styleId="SOWTL5NONUM-ASDEFCON">
    <w:name w:val="SOW TL5 NONUM - ASDEFCON"/>
    <w:basedOn w:val="SOWHL5-ASDEFCON"/>
    <w:next w:val="SOWTL5-ASDEFCON"/>
    <w:rsid w:val="00910462"/>
    <w:pPr>
      <w:keepNext w:val="0"/>
      <w:numPr>
        <w:ilvl w:val="0"/>
        <w:numId w:val="0"/>
      </w:numPr>
      <w:ind w:left="1134"/>
    </w:pPr>
    <w:rPr>
      <w:b w:val="0"/>
    </w:rPr>
  </w:style>
  <w:style w:type="paragraph" w:customStyle="1" w:styleId="SOWTL5-ASDEFCON">
    <w:name w:val="SOW TL5 - ASDEFCON"/>
    <w:basedOn w:val="SOWHL5-ASDEFCON"/>
    <w:rsid w:val="00910462"/>
    <w:pPr>
      <w:keepNext w:val="0"/>
    </w:pPr>
    <w:rPr>
      <w:b w:val="0"/>
    </w:rPr>
  </w:style>
  <w:style w:type="paragraph" w:customStyle="1" w:styleId="SOWSubL2-ASDEFCON">
    <w:name w:val="SOW SubL2 - ASDEFCON"/>
    <w:basedOn w:val="ASDEFCONNormal"/>
    <w:qFormat/>
    <w:rsid w:val="00910462"/>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910462"/>
    <w:pPr>
      <w:numPr>
        <w:numId w:val="0"/>
      </w:numPr>
      <w:ind w:left="1701"/>
    </w:pPr>
  </w:style>
  <w:style w:type="paragraph" w:customStyle="1" w:styleId="SOWSubL2NONUM-ASDEFCON">
    <w:name w:val="SOW SubL2 NONUM - ASDEFCON"/>
    <w:basedOn w:val="SOWSubL2-ASDEFCON"/>
    <w:next w:val="SOWSubL2-ASDEFCON"/>
    <w:qFormat/>
    <w:rsid w:val="00910462"/>
    <w:pPr>
      <w:numPr>
        <w:ilvl w:val="0"/>
        <w:numId w:val="0"/>
      </w:numPr>
      <w:ind w:left="2268"/>
    </w:pPr>
  </w:style>
  <w:style w:type="paragraph" w:styleId="FootnoteText">
    <w:name w:val="footnote text"/>
    <w:basedOn w:val="Normal"/>
    <w:semiHidden/>
    <w:rsid w:val="00910462"/>
    <w:rPr>
      <w:szCs w:val="20"/>
    </w:rPr>
  </w:style>
  <w:style w:type="paragraph" w:customStyle="1" w:styleId="ASDEFCONTextBlock">
    <w:name w:val="ASDEFCON TextBlock"/>
    <w:basedOn w:val="ASDEFCONNormal"/>
    <w:qFormat/>
    <w:rsid w:val="0091046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10462"/>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10462"/>
    <w:pPr>
      <w:keepNext/>
      <w:spacing w:before="240"/>
    </w:pPr>
    <w:rPr>
      <w:rFonts w:ascii="Arial Bold" w:hAnsi="Arial Bold"/>
      <w:b/>
      <w:bCs/>
      <w:caps/>
      <w:szCs w:val="20"/>
    </w:rPr>
  </w:style>
  <w:style w:type="paragraph" w:customStyle="1" w:styleId="Table8ptHeading-ASDEFCON">
    <w:name w:val="Table 8pt Heading - ASDEFCON"/>
    <w:basedOn w:val="ASDEFCONNormal"/>
    <w:rsid w:val="0091046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10462"/>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10462"/>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10462"/>
    <w:rPr>
      <w:rFonts w:ascii="Arial" w:eastAsia="Calibri" w:hAnsi="Arial"/>
      <w:color w:val="000000"/>
      <w:szCs w:val="22"/>
      <w:lang w:eastAsia="en-US"/>
    </w:rPr>
  </w:style>
  <w:style w:type="paragraph" w:customStyle="1" w:styleId="Table8ptSub1-ASDEFCON">
    <w:name w:val="Table 8pt Sub1 - ASDEFCON"/>
    <w:basedOn w:val="Table8ptText-ASDEFCON"/>
    <w:rsid w:val="00910462"/>
    <w:pPr>
      <w:numPr>
        <w:ilvl w:val="1"/>
      </w:numPr>
    </w:pPr>
  </w:style>
  <w:style w:type="paragraph" w:customStyle="1" w:styleId="Table8ptSub2-ASDEFCON">
    <w:name w:val="Table 8pt Sub2 - ASDEFCON"/>
    <w:basedOn w:val="Table8ptText-ASDEFCON"/>
    <w:rsid w:val="00910462"/>
    <w:pPr>
      <w:numPr>
        <w:ilvl w:val="2"/>
      </w:numPr>
    </w:pPr>
  </w:style>
  <w:style w:type="paragraph" w:customStyle="1" w:styleId="Table10ptHeading-ASDEFCON">
    <w:name w:val="Table 10pt Heading - ASDEFCON"/>
    <w:basedOn w:val="ASDEFCONNormal"/>
    <w:rsid w:val="00910462"/>
    <w:pPr>
      <w:keepNext/>
      <w:spacing w:before="60" w:after="60"/>
      <w:jc w:val="center"/>
    </w:pPr>
    <w:rPr>
      <w:b/>
    </w:rPr>
  </w:style>
  <w:style w:type="paragraph" w:customStyle="1" w:styleId="Table8ptBP1-ASDEFCON">
    <w:name w:val="Table 8pt BP1 - ASDEFCON"/>
    <w:basedOn w:val="Table8ptText-ASDEFCON"/>
    <w:rsid w:val="00910462"/>
    <w:pPr>
      <w:numPr>
        <w:numId w:val="13"/>
      </w:numPr>
      <w:tabs>
        <w:tab w:val="clear" w:pos="284"/>
      </w:tabs>
    </w:pPr>
  </w:style>
  <w:style w:type="paragraph" w:customStyle="1" w:styleId="Table8ptBP2-ASDEFCON">
    <w:name w:val="Table 8pt BP2 - ASDEFCON"/>
    <w:basedOn w:val="Table8ptText-ASDEFCON"/>
    <w:rsid w:val="00910462"/>
    <w:pPr>
      <w:numPr>
        <w:ilvl w:val="1"/>
        <w:numId w:val="13"/>
      </w:numPr>
      <w:tabs>
        <w:tab w:val="clear" w:pos="284"/>
      </w:tabs>
    </w:pPr>
    <w:rPr>
      <w:iCs/>
    </w:rPr>
  </w:style>
  <w:style w:type="paragraph" w:customStyle="1" w:styleId="ASDEFCONBulletsLV1">
    <w:name w:val="ASDEFCON Bullets LV1"/>
    <w:basedOn w:val="ASDEFCONNormal"/>
    <w:rsid w:val="00910462"/>
    <w:pPr>
      <w:numPr>
        <w:numId w:val="15"/>
      </w:numPr>
    </w:pPr>
    <w:rPr>
      <w:rFonts w:eastAsia="Calibri"/>
      <w:szCs w:val="22"/>
      <w:lang w:eastAsia="en-US"/>
    </w:rPr>
  </w:style>
  <w:style w:type="paragraph" w:customStyle="1" w:styleId="Table10ptSub1-ASDEFCON">
    <w:name w:val="Table 10pt Sub1 - ASDEFCON"/>
    <w:basedOn w:val="Table10ptText-ASDEFCON"/>
    <w:rsid w:val="00910462"/>
    <w:pPr>
      <w:numPr>
        <w:ilvl w:val="1"/>
      </w:numPr>
      <w:jc w:val="both"/>
    </w:pPr>
  </w:style>
  <w:style w:type="paragraph" w:customStyle="1" w:styleId="Table10ptSub2-ASDEFCON">
    <w:name w:val="Table 10pt Sub2 - ASDEFCON"/>
    <w:basedOn w:val="Table10ptText-ASDEFCON"/>
    <w:rsid w:val="00910462"/>
    <w:pPr>
      <w:numPr>
        <w:ilvl w:val="2"/>
      </w:numPr>
      <w:jc w:val="both"/>
    </w:pPr>
  </w:style>
  <w:style w:type="paragraph" w:customStyle="1" w:styleId="ASDEFCONBulletsLV2">
    <w:name w:val="ASDEFCON Bullets LV2"/>
    <w:basedOn w:val="ASDEFCONNormal"/>
    <w:rsid w:val="00910462"/>
    <w:pPr>
      <w:numPr>
        <w:numId w:val="4"/>
      </w:numPr>
    </w:pPr>
  </w:style>
  <w:style w:type="paragraph" w:customStyle="1" w:styleId="Table10ptBP1-ASDEFCON">
    <w:name w:val="Table 10pt BP1 - ASDEFCON"/>
    <w:basedOn w:val="ASDEFCONNormal"/>
    <w:rsid w:val="00910462"/>
    <w:pPr>
      <w:numPr>
        <w:numId w:val="19"/>
      </w:numPr>
      <w:spacing w:before="60" w:after="60"/>
    </w:pPr>
  </w:style>
  <w:style w:type="paragraph" w:customStyle="1" w:styleId="Table10ptBP2-ASDEFCON">
    <w:name w:val="Table 10pt BP2 - ASDEFCON"/>
    <w:basedOn w:val="ASDEFCONNormal"/>
    <w:link w:val="Table10ptBP2-ASDEFCONCharChar"/>
    <w:rsid w:val="00910462"/>
    <w:pPr>
      <w:numPr>
        <w:ilvl w:val="1"/>
        <w:numId w:val="19"/>
      </w:numPr>
      <w:spacing w:before="60" w:after="60"/>
    </w:pPr>
  </w:style>
  <w:style w:type="character" w:customStyle="1" w:styleId="Table10ptBP2-ASDEFCONCharChar">
    <w:name w:val="Table 10pt BP2 - ASDEFCON Char Char"/>
    <w:link w:val="Table10ptBP2-ASDEFCON"/>
    <w:rsid w:val="00910462"/>
    <w:rPr>
      <w:rFonts w:ascii="Arial" w:hAnsi="Arial"/>
      <w:color w:val="000000"/>
      <w:szCs w:val="40"/>
    </w:rPr>
  </w:style>
  <w:style w:type="paragraph" w:customStyle="1" w:styleId="GuideMarginHead-ASDEFCON">
    <w:name w:val="Guide Margin Head - ASDEFCON"/>
    <w:basedOn w:val="ASDEFCONNormal"/>
    <w:rsid w:val="0091046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10462"/>
    <w:pPr>
      <w:ind w:left="1680"/>
    </w:pPr>
    <w:rPr>
      <w:lang w:eastAsia="en-US"/>
    </w:rPr>
  </w:style>
  <w:style w:type="paragraph" w:customStyle="1" w:styleId="GuideSublistLv1-ASDEFCON">
    <w:name w:val="Guide Sublist Lv1 - ASDEFCON"/>
    <w:basedOn w:val="ASDEFCONNormal"/>
    <w:qFormat/>
    <w:rsid w:val="00910462"/>
    <w:pPr>
      <w:numPr>
        <w:numId w:val="23"/>
      </w:numPr>
    </w:pPr>
    <w:rPr>
      <w:rFonts w:eastAsia="Calibri"/>
      <w:szCs w:val="22"/>
      <w:lang w:eastAsia="en-US"/>
    </w:rPr>
  </w:style>
  <w:style w:type="paragraph" w:customStyle="1" w:styleId="GuideBullets-ASDEFCON">
    <w:name w:val="Guide Bullets - ASDEFCON"/>
    <w:basedOn w:val="ASDEFCONNormal"/>
    <w:rsid w:val="00910462"/>
    <w:pPr>
      <w:numPr>
        <w:ilvl w:val="6"/>
        <w:numId w:val="1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1046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10462"/>
    <w:pPr>
      <w:keepNext/>
      <w:spacing w:before="240"/>
    </w:pPr>
    <w:rPr>
      <w:rFonts w:eastAsia="Calibri"/>
      <w:b/>
      <w:caps/>
      <w:szCs w:val="20"/>
      <w:lang w:eastAsia="en-US"/>
    </w:rPr>
  </w:style>
  <w:style w:type="paragraph" w:customStyle="1" w:styleId="ASDEFCONSublist">
    <w:name w:val="ASDEFCON Sublist"/>
    <w:basedOn w:val="ASDEFCONNormal"/>
    <w:rsid w:val="00910462"/>
    <w:pPr>
      <w:numPr>
        <w:numId w:val="24"/>
      </w:numPr>
    </w:pPr>
    <w:rPr>
      <w:iCs/>
    </w:rPr>
  </w:style>
  <w:style w:type="paragraph" w:customStyle="1" w:styleId="ASDEFCONRecitals">
    <w:name w:val="ASDEFCON Recitals"/>
    <w:basedOn w:val="ASDEFCONNormal"/>
    <w:link w:val="ASDEFCONRecitalsCharChar"/>
    <w:rsid w:val="00910462"/>
    <w:pPr>
      <w:numPr>
        <w:numId w:val="16"/>
      </w:numPr>
    </w:pPr>
  </w:style>
  <w:style w:type="character" w:customStyle="1" w:styleId="ASDEFCONRecitalsCharChar">
    <w:name w:val="ASDEFCON Recitals Char Char"/>
    <w:link w:val="ASDEFCONRecitals"/>
    <w:rsid w:val="00910462"/>
    <w:rPr>
      <w:rFonts w:ascii="Arial" w:hAnsi="Arial"/>
      <w:color w:val="000000"/>
      <w:szCs w:val="40"/>
    </w:rPr>
  </w:style>
  <w:style w:type="paragraph" w:customStyle="1" w:styleId="NoteList-ASDEFCON">
    <w:name w:val="Note List - ASDEFCON"/>
    <w:basedOn w:val="ASDEFCONNormal"/>
    <w:rsid w:val="00910462"/>
    <w:pPr>
      <w:numPr>
        <w:numId w:val="17"/>
      </w:numPr>
    </w:pPr>
    <w:rPr>
      <w:b/>
      <w:bCs/>
      <w:i/>
    </w:rPr>
  </w:style>
  <w:style w:type="paragraph" w:customStyle="1" w:styleId="NoteBullets-ASDEFCON">
    <w:name w:val="Note Bullets - ASDEFCON"/>
    <w:basedOn w:val="ASDEFCONNormal"/>
    <w:rsid w:val="00910462"/>
    <w:pPr>
      <w:numPr>
        <w:numId w:val="18"/>
      </w:numPr>
    </w:pPr>
    <w:rPr>
      <w:b/>
      <w:i/>
    </w:rPr>
  </w:style>
  <w:style w:type="paragraph" w:styleId="Caption">
    <w:name w:val="caption"/>
    <w:basedOn w:val="Normal"/>
    <w:next w:val="Normal"/>
    <w:qFormat/>
    <w:rsid w:val="00910462"/>
    <w:pPr>
      <w:jc w:val="center"/>
    </w:pPr>
    <w:rPr>
      <w:b/>
      <w:bCs/>
      <w:szCs w:val="20"/>
    </w:rPr>
  </w:style>
  <w:style w:type="paragraph" w:customStyle="1" w:styleId="ASDEFCONOperativePartListLV1">
    <w:name w:val="ASDEFCON Operative Part List LV1"/>
    <w:basedOn w:val="ASDEFCONNormal"/>
    <w:rsid w:val="00910462"/>
    <w:pPr>
      <w:numPr>
        <w:numId w:val="20"/>
      </w:numPr>
    </w:pPr>
    <w:rPr>
      <w:iCs/>
    </w:rPr>
  </w:style>
  <w:style w:type="paragraph" w:customStyle="1" w:styleId="ASDEFCONOperativePartListLV2">
    <w:name w:val="ASDEFCON Operative Part List LV2"/>
    <w:basedOn w:val="ASDEFCONOperativePartListLV1"/>
    <w:rsid w:val="00910462"/>
    <w:pPr>
      <w:numPr>
        <w:ilvl w:val="1"/>
      </w:numPr>
    </w:pPr>
  </w:style>
  <w:style w:type="paragraph" w:customStyle="1" w:styleId="ASDEFCONOptionSpace">
    <w:name w:val="ASDEFCON Option Space"/>
    <w:basedOn w:val="ASDEFCONNormal"/>
    <w:rsid w:val="00910462"/>
    <w:pPr>
      <w:spacing w:after="0"/>
    </w:pPr>
    <w:rPr>
      <w:bCs/>
      <w:color w:val="FFFFFF"/>
      <w:sz w:val="8"/>
    </w:rPr>
  </w:style>
  <w:style w:type="paragraph" w:customStyle="1" w:styleId="ATTANNReferencetoCOC">
    <w:name w:val="ATT/ANN Reference to COC"/>
    <w:basedOn w:val="ASDEFCONNormal"/>
    <w:rsid w:val="00910462"/>
    <w:pPr>
      <w:keepNext/>
      <w:jc w:val="right"/>
    </w:pPr>
    <w:rPr>
      <w:i/>
      <w:iCs/>
      <w:szCs w:val="20"/>
    </w:rPr>
  </w:style>
  <w:style w:type="paragraph" w:customStyle="1" w:styleId="ASDEFCONHeaderFooterCenter">
    <w:name w:val="ASDEFCON Header/Footer Center"/>
    <w:basedOn w:val="ASDEFCONHeaderFooterLeft"/>
    <w:rsid w:val="00910462"/>
    <w:pPr>
      <w:jc w:val="center"/>
    </w:pPr>
    <w:rPr>
      <w:szCs w:val="20"/>
    </w:rPr>
  </w:style>
  <w:style w:type="paragraph" w:customStyle="1" w:styleId="ASDEFCONHeaderFooterRight">
    <w:name w:val="ASDEFCON Header/Footer Right"/>
    <w:basedOn w:val="ASDEFCONHeaderFooterLeft"/>
    <w:rsid w:val="00910462"/>
    <w:pPr>
      <w:jc w:val="right"/>
    </w:pPr>
    <w:rPr>
      <w:szCs w:val="20"/>
    </w:rPr>
  </w:style>
  <w:style w:type="paragraph" w:customStyle="1" w:styleId="ASDEFCONHeaderFooterClassification">
    <w:name w:val="ASDEFCON Header/Footer Classification"/>
    <w:basedOn w:val="ASDEFCONHeaderFooterLeft"/>
    <w:rsid w:val="00910462"/>
    <w:pPr>
      <w:jc w:val="center"/>
    </w:pPr>
    <w:rPr>
      <w:rFonts w:ascii="Arial Bold" w:hAnsi="Arial Bold"/>
      <w:b/>
      <w:bCs/>
      <w:caps/>
      <w:sz w:val="20"/>
    </w:rPr>
  </w:style>
  <w:style w:type="paragraph" w:customStyle="1" w:styleId="GuideLV3Head-ASDEFCON">
    <w:name w:val="Guide LV3 Head - ASDEFCON"/>
    <w:basedOn w:val="ASDEFCONNormal"/>
    <w:rsid w:val="00910462"/>
    <w:pPr>
      <w:keepNext/>
    </w:pPr>
    <w:rPr>
      <w:rFonts w:eastAsia="Calibri"/>
      <w:b/>
      <w:szCs w:val="22"/>
      <w:lang w:eastAsia="en-US"/>
    </w:rPr>
  </w:style>
  <w:style w:type="paragraph" w:customStyle="1" w:styleId="GuideSublistLv2-ASDEFCON">
    <w:name w:val="Guide Sublist Lv2 - ASDEFCON"/>
    <w:basedOn w:val="ASDEFCONNormal"/>
    <w:rsid w:val="00910462"/>
    <w:pPr>
      <w:numPr>
        <w:ilvl w:val="1"/>
        <w:numId w:val="23"/>
      </w:numPr>
    </w:pPr>
  </w:style>
  <w:style w:type="paragraph" w:styleId="TOC3">
    <w:name w:val="toc 3"/>
    <w:basedOn w:val="Normal"/>
    <w:next w:val="Normal"/>
    <w:autoRedefine/>
    <w:rsid w:val="00910462"/>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910462"/>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10462"/>
    <w:rPr>
      <w:rFonts w:ascii="Georgia" w:hAnsi="Georgia"/>
      <w:b/>
      <w:bCs/>
      <w:color w:val="CF4520"/>
      <w:sz w:val="28"/>
      <w:szCs w:val="26"/>
    </w:rPr>
  </w:style>
  <w:style w:type="character" w:styleId="Hyperlink">
    <w:name w:val="Hyperlink"/>
    <w:uiPriority w:val="99"/>
    <w:unhideWhenUsed/>
    <w:rsid w:val="00910462"/>
    <w:rPr>
      <w:color w:val="0000FF"/>
      <w:u w:val="single"/>
    </w:rPr>
  </w:style>
  <w:style w:type="paragraph" w:styleId="TOC4">
    <w:name w:val="toc 4"/>
    <w:basedOn w:val="Normal"/>
    <w:next w:val="Normal"/>
    <w:autoRedefine/>
    <w:rsid w:val="00910462"/>
    <w:pPr>
      <w:spacing w:after="100"/>
      <w:ind w:left="600"/>
    </w:pPr>
  </w:style>
  <w:style w:type="paragraph" w:styleId="TOC5">
    <w:name w:val="toc 5"/>
    <w:basedOn w:val="Normal"/>
    <w:next w:val="Normal"/>
    <w:autoRedefine/>
    <w:rsid w:val="00910462"/>
    <w:pPr>
      <w:spacing w:after="100"/>
      <w:ind w:left="800"/>
    </w:pPr>
  </w:style>
  <w:style w:type="paragraph" w:styleId="TOC6">
    <w:name w:val="toc 6"/>
    <w:basedOn w:val="Normal"/>
    <w:next w:val="Normal"/>
    <w:autoRedefine/>
    <w:rsid w:val="00910462"/>
    <w:pPr>
      <w:spacing w:after="100"/>
      <w:ind w:left="1000"/>
    </w:pPr>
  </w:style>
  <w:style w:type="paragraph" w:styleId="TOC7">
    <w:name w:val="toc 7"/>
    <w:basedOn w:val="Normal"/>
    <w:next w:val="Normal"/>
    <w:autoRedefine/>
    <w:rsid w:val="00910462"/>
    <w:pPr>
      <w:spacing w:after="100"/>
      <w:ind w:left="1200"/>
    </w:pPr>
  </w:style>
  <w:style w:type="paragraph" w:styleId="TOC8">
    <w:name w:val="toc 8"/>
    <w:basedOn w:val="Normal"/>
    <w:next w:val="Normal"/>
    <w:autoRedefine/>
    <w:rsid w:val="00910462"/>
    <w:pPr>
      <w:spacing w:after="100"/>
      <w:ind w:left="1400"/>
    </w:pPr>
  </w:style>
  <w:style w:type="paragraph" w:styleId="TOC9">
    <w:name w:val="toc 9"/>
    <w:basedOn w:val="Normal"/>
    <w:next w:val="Normal"/>
    <w:autoRedefine/>
    <w:rsid w:val="00910462"/>
    <w:pPr>
      <w:spacing w:after="100"/>
      <w:ind w:left="1600"/>
    </w:pPr>
  </w:style>
  <w:style w:type="paragraph" w:styleId="TOCHeading">
    <w:name w:val="TOC Heading"/>
    <w:basedOn w:val="Heading1"/>
    <w:next w:val="Normal"/>
    <w:uiPriority w:val="39"/>
    <w:semiHidden/>
    <w:unhideWhenUsed/>
    <w:qFormat/>
    <w:rsid w:val="0088501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10462"/>
    <w:pPr>
      <w:numPr>
        <w:numId w:val="25"/>
      </w:numPr>
    </w:pPr>
  </w:style>
  <w:style w:type="paragraph" w:styleId="Subtitle">
    <w:name w:val="Subtitle"/>
    <w:basedOn w:val="Normal"/>
    <w:next w:val="Normal"/>
    <w:link w:val="SubtitleChar"/>
    <w:uiPriority w:val="99"/>
    <w:qFormat/>
    <w:rsid w:val="0091046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10462"/>
    <w:rPr>
      <w:i/>
      <w:color w:val="003760"/>
      <w:spacing w:val="15"/>
    </w:rPr>
  </w:style>
  <w:style w:type="paragraph" w:customStyle="1" w:styleId="StyleTitleGeorgiaNotBoldLeft">
    <w:name w:val="Style Title + Georgia Not Bold Left"/>
    <w:basedOn w:val="Title"/>
    <w:qFormat/>
    <w:rsid w:val="00910462"/>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910462"/>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910462"/>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910462"/>
    <w:rPr>
      <w:rFonts w:ascii="Arial" w:hAnsi="Arial"/>
      <w:b/>
      <w:bCs/>
      <w:i/>
      <w:iCs/>
      <w:szCs w:val="24"/>
    </w:rPr>
  </w:style>
  <w:style w:type="paragraph" w:customStyle="1" w:styleId="Bullet">
    <w:name w:val="Bullet"/>
    <w:basedOn w:val="ListParagraph"/>
    <w:qFormat/>
    <w:rsid w:val="00910462"/>
    <w:pPr>
      <w:tabs>
        <w:tab w:val="left" w:pos="567"/>
        <w:tab w:val="num" w:pos="720"/>
      </w:tabs>
      <w:ind w:hanging="720"/>
      <w:jc w:val="left"/>
    </w:pPr>
  </w:style>
  <w:style w:type="paragraph" w:styleId="ListParagraph">
    <w:name w:val="List Paragraph"/>
    <w:basedOn w:val="Normal"/>
    <w:uiPriority w:val="34"/>
    <w:qFormat/>
    <w:rsid w:val="00910462"/>
    <w:pPr>
      <w:spacing w:after="0"/>
      <w:ind w:left="720"/>
    </w:pPr>
  </w:style>
  <w:style w:type="paragraph" w:customStyle="1" w:styleId="Bullet2">
    <w:name w:val="Bullet 2"/>
    <w:basedOn w:val="Normal"/>
    <w:rsid w:val="00910462"/>
    <w:pPr>
      <w:numPr>
        <w:numId w:val="2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173</TotalTime>
  <Pages>8</Pages>
  <Words>3044</Words>
  <Characters>18726</Characters>
  <Application>Microsoft Office Word</Application>
  <DocSecurity>0</DocSecurity>
  <Lines>492</Lines>
  <Paragraphs>290</Paragraphs>
  <ScaleCrop>false</ScaleCrop>
  <HeadingPairs>
    <vt:vector size="2" baseType="variant">
      <vt:variant>
        <vt:lpstr>Title</vt:lpstr>
      </vt:variant>
      <vt:variant>
        <vt:i4>1</vt:i4>
      </vt:variant>
    </vt:vector>
  </HeadingPairs>
  <TitlesOfParts>
    <vt:vector size="1" baseType="lpstr">
      <vt:lpstr>MSR-CHECKLIST-TXRR</vt:lpstr>
    </vt:vector>
  </TitlesOfParts>
  <Manager>CASG</Manager>
  <Company>Defence</Company>
  <LinksUpToDate>false</LinksUpToDate>
  <CharactersWithSpaces>21480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MSR-CHECKLIST-TXRR</dc:title>
  <dc:subject>Transition Requirements Review</dc:subject>
  <dc:creator>ASDEFCON SOW Policy</dc:creator>
  <cp:keywords>Transition Requirements Review, TXRR, Checklist, MSR</cp:keywords>
  <cp:lastModifiedBy>DAE2-</cp:lastModifiedBy>
  <cp:revision>37</cp:revision>
  <cp:lastPrinted>2015-10-18T20:53:00Z</cp:lastPrinted>
  <dcterms:created xsi:type="dcterms:W3CDTF">2018-02-21T03:39:00Z</dcterms:created>
  <dcterms:modified xsi:type="dcterms:W3CDTF">2024-08-20T04:14:00Z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BM78947933</vt:lpwstr>
  </property>
  <property fmtid="{D5CDD505-2E9C-101B-9397-08002B2CF9AE}" pid="4" name="Objective-Title">
    <vt:lpwstr>18 MSR-CHECKLIST-TXRR-V5.3</vt:lpwstr>
  </property>
  <property fmtid="{D5CDD505-2E9C-101B-9397-08002B2CF9AE}" pid="5" name="Objective-Comment">
    <vt:lpwstr/>
  </property>
  <property fmtid="{D5CDD505-2E9C-101B-9397-08002B2CF9AE}" pid="6" name="Objective-CreationStamp">
    <vt:filetime>2024-08-20T03:51:52Z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2024-08-20T04:13:50Z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MAIL_MSG_ID1">
    <vt:lpwstr>oFAAC41Wbh9etaXUgx7V2K0di52tACnBtSh4Z4W2wHzyQm/NZ+6F6knWLg+sKc4H661G/ZO4OGsWsfi/_x000d__x000d__x000d__x000d__x000d__x000d__x000d__x000d__x000d__x000d__x000d__x000d__x000d__x000d__x000d__x000d_
kMwv/J21Vw9V0sL+o3V3H5bVb8DLfzUOK8vobQe9CUtey8GMR5ZG3d2LQDKvXJ3HjLEJqmN/MmHo_x000d__x000d__x000d__x000d__x000d__x000d__x000d__x000d__x000d__x000d__x000d__x000d__x000d__x000d__x000d__x000d_
g81iJNk4To9FZ2GwNRGbaa5Sj6favFCNXcy10jEDadrLZNxhqQukaJ6lbtp5xXpbY</vt:lpwstr>
  </property>
  <property fmtid="{D5CDD505-2E9C-101B-9397-08002B2CF9AE}" pid="23" name="MAIL_MSG_ID2">
    <vt:lpwstr>7iAgCjY+2ihavOEMK+kPJJssikesMTYLZzEA0jagi3ypU+2FjjMk/TSYynb_x000d__x000d__x000d__x000d__x000d__x000d__x000d__x000d__x000d__x000d__x000d__x000d__x000d__x000d__x000d__x000d_
015uTOiorLnYKhqZiOSA5+w9I+W25r9DxdDuDQ2MxNYCiFpY</vt:lpwstr>
  </property>
  <property fmtid="{D5CDD505-2E9C-101B-9397-08002B2CF9AE}" pid="24" name="RESPONSE_SENDER_NAME">
    <vt:lpwstr>gAAAdya76B99d4hLGUR1rQ+8TxTv0GGEPdix</vt:lpwstr>
  </property>
  <property fmtid="{D5CDD505-2E9C-101B-9397-08002B2CF9AE}" pid="25" name="EMAIL_OWNER_ADDRESS">
    <vt:lpwstr>4AAAv2pPQheLA5XQMvekzHwzTp5qAFN5KmzXYtOsuHmmVUti/uPES+VAUQ==</vt:lpwstr>
  </property>
  <property fmtid="{D5CDD505-2E9C-101B-9397-08002B2CF9AE}" pid="26" name="Classification">
    <vt:lpwstr>OFFICIAL</vt:lpwstr>
  </property>
  <property fmtid="{D5CDD505-2E9C-101B-9397-08002B2CF9AE}" pid="27" name="Header_Left">
    <vt:lpwstr>ASDEFCON (Strategic Materiel)</vt:lpwstr>
  </property>
  <property fmtid="{D5CDD505-2E9C-101B-9397-08002B2CF9AE}" pid="28" name="Header_Right">
    <vt:lpwstr/>
  </property>
  <property fmtid="{D5CDD505-2E9C-101B-9397-08002B2CF9AE}" pid="29" name="Footer_Left">
    <vt:lpwstr/>
  </property>
  <property fmtid="{D5CDD505-2E9C-101B-9397-08002B2CF9AE}" pid="30" name="Objective-Reason for Security Classification Change [system]">
    <vt:lpwstr/>
  </property>
</Properties>
</file>