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EA7" w:rsidRDefault="009D6EBB" w:rsidP="00181958">
      <w:pPr>
        <w:pStyle w:val="ASDEFCONTitle"/>
      </w:pPr>
      <w:r>
        <w:t xml:space="preserve">MSR </w:t>
      </w:r>
      <w:r w:rsidR="004C7EA7">
        <w:t>cHecklisT</w:t>
      </w:r>
    </w:p>
    <w:p w:rsidR="004C7EA7" w:rsidRDefault="004C7EA7" w:rsidP="00181958">
      <w:pPr>
        <w:pStyle w:val="SOWHL1-ASDEFCON"/>
      </w:pPr>
      <w:bookmarkStart w:id="0" w:name="_Toc515805636"/>
      <w:r>
        <w:t>I</w:t>
      </w:r>
      <w:bookmarkStart w:id="1" w:name="_Toc515805637"/>
      <w:r>
        <w:t>dentification:</w:t>
      </w:r>
      <w:r>
        <w:tab/>
      </w:r>
      <w:r w:rsidR="00E14D2E">
        <w:fldChar w:fldCharType="begin"/>
      </w:r>
      <w:r w:rsidR="00E14D2E">
        <w:instrText xml:space="preserve"> DOCPROPERTY  Title  \* MERGEFORMAT </w:instrText>
      </w:r>
      <w:r w:rsidR="00E14D2E">
        <w:fldChar w:fldCharType="separate"/>
      </w:r>
      <w:r w:rsidR="0060004E">
        <w:t>MSR-CHECKLIST-FACRR</w:t>
      </w:r>
      <w:r w:rsidR="00E14D2E">
        <w:fldChar w:fldCharType="end"/>
      </w:r>
      <w:r>
        <w:t>-</w:t>
      </w:r>
      <w:r w:rsidR="00E14D2E">
        <w:fldChar w:fldCharType="begin"/>
      </w:r>
      <w:r w:rsidR="00E14D2E">
        <w:instrText xml:space="preserve"> DOCPROPERTY Version </w:instrText>
      </w:r>
      <w:r w:rsidR="00E14D2E">
        <w:fldChar w:fldCharType="separate"/>
      </w:r>
      <w:r w:rsidR="00606405">
        <w:t>V5.3</w:t>
      </w:r>
      <w:r w:rsidR="00E14D2E">
        <w:fldChar w:fldCharType="end"/>
      </w:r>
    </w:p>
    <w:p w:rsidR="004C7EA7" w:rsidRDefault="004C7EA7" w:rsidP="00181958">
      <w:pPr>
        <w:pStyle w:val="SOWHL1-ASDEFCON"/>
      </w:pPr>
      <w:r>
        <w:t>TITLE:</w:t>
      </w:r>
      <w:r>
        <w:tab/>
      </w:r>
      <w:bookmarkEnd w:id="1"/>
      <w:r>
        <w:t>Facilities readiness REVIEW Checklist</w:t>
      </w:r>
    </w:p>
    <w:p w:rsidR="004C7EA7" w:rsidRDefault="004C7EA7" w:rsidP="00181958">
      <w:pPr>
        <w:pStyle w:val="SOWHL1-ASDEFCON"/>
      </w:pPr>
      <w:bookmarkStart w:id="2" w:name="_Toc515805639"/>
      <w:r>
        <w:t>DESCRIPTION and intended use</w:t>
      </w:r>
      <w:bookmarkEnd w:id="2"/>
    </w:p>
    <w:p w:rsidR="00042417" w:rsidRDefault="004C7EA7" w:rsidP="00181958">
      <w:pPr>
        <w:pStyle w:val="SOWTL2-ASDEFCON"/>
      </w:pPr>
      <w:r>
        <w:t>The objective</w:t>
      </w:r>
      <w:r w:rsidR="00042417">
        <w:t>s</w:t>
      </w:r>
      <w:r>
        <w:t xml:space="preserve"> of the </w:t>
      </w:r>
      <w:r w:rsidR="006534B9">
        <w:t>Facilities Readiness Review (</w:t>
      </w:r>
      <w:r>
        <w:t>FACRR</w:t>
      </w:r>
      <w:r w:rsidR="006534B9">
        <w:t>)</w:t>
      </w:r>
      <w:r>
        <w:t xml:space="preserve"> </w:t>
      </w:r>
      <w:r w:rsidR="00042417">
        <w:t xml:space="preserve">are </w:t>
      </w:r>
      <w:r>
        <w:t>to</w:t>
      </w:r>
      <w:r w:rsidR="00042417">
        <w:t>:</w:t>
      </w:r>
    </w:p>
    <w:p w:rsidR="00042417" w:rsidRDefault="004C7EA7" w:rsidP="00BA7FFC">
      <w:pPr>
        <w:pStyle w:val="SOWSubL1-ASDEFCON"/>
      </w:pPr>
      <w:r>
        <w:t xml:space="preserve">review the state of </w:t>
      </w:r>
      <w:r w:rsidR="002E4C1E">
        <w:t>Facilities</w:t>
      </w:r>
      <w:r>
        <w:t xml:space="preserve"> that are new, refurbished, fitted-out, or otherwise modified by the Contractor to confirm that the </w:t>
      </w:r>
      <w:r w:rsidR="002E4C1E">
        <w:t>Facilities</w:t>
      </w:r>
      <w:r>
        <w:t xml:space="preserve"> are complete and ready for the Commonwealth </w:t>
      </w:r>
      <w:r w:rsidR="00B81A9D">
        <w:t>and/</w:t>
      </w:r>
      <w:r>
        <w:t>or other agencies (</w:t>
      </w:r>
      <w:r w:rsidR="00B81A9D">
        <w:t xml:space="preserve">eg, </w:t>
      </w:r>
      <w:r>
        <w:t>the Contractor</w:t>
      </w:r>
      <w:r w:rsidR="00B81A9D">
        <w:t xml:space="preserve"> under a Contract (Support)</w:t>
      </w:r>
      <w:r>
        <w:t>), as applicable, to occupy</w:t>
      </w:r>
      <w:r w:rsidR="00042417">
        <w:t>; and</w:t>
      </w:r>
    </w:p>
    <w:p w:rsidR="004C7EA7" w:rsidRDefault="00042417" w:rsidP="00BA7FFC">
      <w:pPr>
        <w:pStyle w:val="SOWSubL1-ASDEFCON"/>
      </w:pPr>
      <w:r>
        <w:t>enable the</w:t>
      </w:r>
      <w:r w:rsidR="004C7EA7">
        <w:t xml:space="preserve"> co</w:t>
      </w:r>
      <w:r>
        <w:t xml:space="preserve">-ordination </w:t>
      </w:r>
      <w:r w:rsidR="004C7EA7">
        <w:t xml:space="preserve">of the </w:t>
      </w:r>
      <w:r>
        <w:t xml:space="preserve">hand-over of Facilities with the </w:t>
      </w:r>
      <w:r w:rsidR="004C7EA7">
        <w:t>Verification and Validation (V&amp;V) program, leading to the Acceptance</w:t>
      </w:r>
      <w:bookmarkStart w:id="3" w:name="_GoBack"/>
      <w:bookmarkEnd w:id="3"/>
      <w:r w:rsidR="004C7EA7">
        <w:t xml:space="preserve"> of </w:t>
      </w:r>
      <w:r w:rsidR="002E4C1E">
        <w:t>Facilities</w:t>
      </w:r>
      <w:r w:rsidR="004C7EA7">
        <w:t xml:space="preserve"> from the Contractor.</w:t>
      </w:r>
    </w:p>
    <w:p w:rsidR="0070091F" w:rsidRDefault="0070091F" w:rsidP="0070091F">
      <w:pPr>
        <w:pStyle w:val="SOWTL2-ASDEFCON"/>
      </w:pPr>
      <w:r>
        <w:t xml:space="preserve">The FACRR is applicable when new or modified </w:t>
      </w:r>
      <w:r w:rsidRPr="0070091F">
        <w:t>Facilities</w:t>
      </w:r>
      <w:r>
        <w:t xml:space="preserve"> are being supplied under the Contract.  </w:t>
      </w:r>
      <w:r w:rsidRPr="0070091F">
        <w:t>The Defence Security and Estate Group (SEG) is the Commonwealth entity responsible for Commonwealth Premises/Facilities and should be consulted for advice and direction (through the Commonwealth Representative).</w:t>
      </w:r>
    </w:p>
    <w:p w:rsidR="004C7EA7" w:rsidRDefault="004C7EA7" w:rsidP="00181958">
      <w:pPr>
        <w:pStyle w:val="SOWTL2-ASDEFCON"/>
      </w:pPr>
      <w:r>
        <w:t xml:space="preserve">The FACRR provides the Commonwealth and the Contractor with the opportunity to review the implementation of new, refurbished, fitted-out, or otherwise modified </w:t>
      </w:r>
      <w:r w:rsidR="002E4C1E">
        <w:t>Facilities</w:t>
      </w:r>
      <w:r>
        <w:t xml:space="preserve"> as required under the Contract.  The FACRR also assists the Commonwealth with ensuring that all necessary measures for the future support and upkeep of </w:t>
      </w:r>
      <w:r w:rsidR="002E4C1E">
        <w:t>Facilities</w:t>
      </w:r>
      <w:r>
        <w:t xml:space="preserve"> have been appropriately planned for (eg, through in-house support arrangements or via support contracts).</w:t>
      </w:r>
    </w:p>
    <w:p w:rsidR="004C7EA7" w:rsidRDefault="004C7EA7" w:rsidP="00181958">
      <w:pPr>
        <w:pStyle w:val="SOWTL2-ASDEFCON"/>
      </w:pPr>
      <w:r>
        <w:t xml:space="preserve">The FACRR is one of the steps leading to the Acceptance of </w:t>
      </w:r>
      <w:r w:rsidR="002E4C1E">
        <w:t>Facilities</w:t>
      </w:r>
      <w:r>
        <w:t xml:space="preserve"> by the Commonwealth.  In general, the determination as to whether or not a </w:t>
      </w:r>
      <w:r w:rsidR="002E4C1E">
        <w:t>Facility</w:t>
      </w:r>
      <w:r>
        <w:t xml:space="preserve"> is fit for purpose will not be able to occur until the </w:t>
      </w:r>
      <w:r w:rsidR="002E4C1E">
        <w:t>Facility</w:t>
      </w:r>
      <w:r>
        <w:t xml:space="preserve"> is occupied and the actual activities to be undertaken within that </w:t>
      </w:r>
      <w:r w:rsidR="002E4C1E">
        <w:t>Facility</w:t>
      </w:r>
      <w:r>
        <w:t xml:space="preserve"> are performed.  The FACRR, therefore, provides an initial check that </w:t>
      </w:r>
      <w:r w:rsidR="002E4C1E">
        <w:t>Facilities</w:t>
      </w:r>
      <w:r>
        <w:t xml:space="preserve"> are ready for occupation, with the Acceptance of those </w:t>
      </w:r>
      <w:r w:rsidR="002E4C1E">
        <w:t>Facilities</w:t>
      </w:r>
      <w:r>
        <w:t xml:space="preserve"> occurring after the </w:t>
      </w:r>
      <w:r w:rsidR="002E4C1E">
        <w:t>Facilities</w:t>
      </w:r>
      <w:r>
        <w:t xml:space="preserve"> have been Validated in accordance with the Contract (eg, through maintenance support effectiveness demonstrations, supply support effectiveness demonstrations, etc).</w:t>
      </w:r>
    </w:p>
    <w:p w:rsidR="004C7EA7" w:rsidRPr="00467654" w:rsidRDefault="004C7EA7" w:rsidP="00181958">
      <w:pPr>
        <w:pStyle w:val="SOWTL2-ASDEFCON"/>
      </w:pPr>
      <w:r>
        <w:t xml:space="preserve">This </w:t>
      </w:r>
      <w:r w:rsidR="00D707EE">
        <w:t>Mandated System Review (</w:t>
      </w:r>
      <w:r w:rsidR="009D6EBB">
        <w:t>MSR</w:t>
      </w:r>
      <w:r w:rsidR="00D707EE">
        <w:t>)</w:t>
      </w:r>
      <w:r w:rsidR="009D6EBB">
        <w:t xml:space="preserve"> </w:t>
      </w:r>
      <w:r w:rsidR="001B56BD">
        <w:t>C</w:t>
      </w:r>
      <w:r>
        <w:t xml:space="preserve">hecklist </w:t>
      </w:r>
      <w:r w:rsidR="000C1348">
        <w:t xml:space="preserve">sets out the Commonwealth’s requirements and minimum expectations </w:t>
      </w:r>
      <w:r>
        <w:t>for the conduct of a FACRR.</w:t>
      </w:r>
    </w:p>
    <w:p w:rsidR="004C7EA7" w:rsidRDefault="004C7EA7" w:rsidP="00181958">
      <w:pPr>
        <w:pStyle w:val="Note-ASDEFCON"/>
      </w:pPr>
      <w:r>
        <w:t xml:space="preserve">Note: </w:t>
      </w:r>
      <w:r w:rsidR="007310A6">
        <w:t xml:space="preserve"> </w:t>
      </w:r>
      <w:r>
        <w:t xml:space="preserve">This checklist refers to </w:t>
      </w:r>
      <w:r w:rsidR="002E4C1E">
        <w:t>Facilities</w:t>
      </w:r>
      <w:r>
        <w:t xml:space="preserve"> and their applicable equipment fit-out.  “Fit-out” refers to permanent fixtures required for the building to perform its functions, including utilities and “hotel services”.  Fit-out will include electricity (mains and back-up systems), water, water extraction, air-conditioning, heating, air and water filtration, fire-suppression, security and surveillance, communications, lifts, compressed air, overhead cranes, etc, as applicable.</w:t>
      </w:r>
    </w:p>
    <w:p w:rsidR="004C7EA7" w:rsidRDefault="004C7EA7" w:rsidP="00181958">
      <w:pPr>
        <w:pStyle w:val="SOWHL1-ASDEFCON"/>
      </w:pPr>
      <w:bookmarkStart w:id="4" w:name="_Toc515805640"/>
      <w:r>
        <w:t>INTER-RELATIONSHIPS</w:t>
      </w:r>
      <w:bookmarkEnd w:id="4"/>
    </w:p>
    <w:p w:rsidR="004C7EA7" w:rsidRDefault="002E4C1E" w:rsidP="00181958">
      <w:pPr>
        <w:pStyle w:val="SOWTL2-ASDEFCON"/>
      </w:pPr>
      <w:r>
        <w:t>The FACRR shall be conducted in accordance with the Approved System Review Plan (SRP), and shall be consistent with the following data items, where these data items are required under the Contract</w:t>
      </w:r>
      <w:r w:rsidR="004C7EA7">
        <w:t>:</w:t>
      </w:r>
    </w:p>
    <w:p w:rsidR="004C7EA7" w:rsidRDefault="004C7EA7" w:rsidP="00181958">
      <w:pPr>
        <w:pStyle w:val="SOWSubL1-ASDEFCON"/>
      </w:pPr>
      <w:r>
        <w:t>Integrated Support Plan (ISP);</w:t>
      </w:r>
    </w:p>
    <w:p w:rsidR="004C7EA7" w:rsidRDefault="002E4C1E" w:rsidP="00181958">
      <w:pPr>
        <w:pStyle w:val="SOWSubL1-ASDEFCON"/>
      </w:pPr>
      <w:r>
        <w:t>Site Installation Plan (SIP);</w:t>
      </w:r>
      <w:r w:rsidR="004C7EA7">
        <w:t xml:space="preserve"> and</w:t>
      </w:r>
    </w:p>
    <w:p w:rsidR="004C7EA7" w:rsidRDefault="004C7EA7" w:rsidP="00181958">
      <w:pPr>
        <w:pStyle w:val="SOWSubL1-ASDEFCON"/>
      </w:pPr>
      <w:r>
        <w:t>Verification and Validation Plan (V&amp;VP).</w:t>
      </w:r>
    </w:p>
    <w:p w:rsidR="004C7EA7" w:rsidRDefault="002E4C1E" w:rsidP="00181958">
      <w:pPr>
        <w:pStyle w:val="SOWTL2-ASDEFCON"/>
      </w:pPr>
      <w:r>
        <w:t>The FACRR inter-relates with the following data items, where these data items are required under the Contract</w:t>
      </w:r>
      <w:r w:rsidR="004C7EA7">
        <w:t>:</w:t>
      </w:r>
    </w:p>
    <w:p w:rsidR="004C7EA7" w:rsidRPr="002E4C1E" w:rsidRDefault="004C7EA7" w:rsidP="00181958">
      <w:pPr>
        <w:pStyle w:val="SOWSubL1-ASDEFCON"/>
      </w:pPr>
      <w:r w:rsidRPr="002E4C1E">
        <w:t>Facilities Requirements Analysis Report (FRAR);</w:t>
      </w:r>
    </w:p>
    <w:p w:rsidR="004C7EA7" w:rsidRPr="002E4C1E" w:rsidRDefault="004C7EA7" w:rsidP="00181958">
      <w:pPr>
        <w:pStyle w:val="SOWSubL1-ASDEFCON"/>
      </w:pPr>
      <w:r w:rsidRPr="002E4C1E">
        <w:lastRenderedPageBreak/>
        <w:t>Logistic Support Analysis Record (LSAR); and</w:t>
      </w:r>
    </w:p>
    <w:p w:rsidR="004C7EA7" w:rsidRPr="002E4C1E" w:rsidRDefault="004C7EA7" w:rsidP="00181958">
      <w:pPr>
        <w:pStyle w:val="SOWSubL1-ASDEFCON"/>
      </w:pPr>
      <w:r w:rsidRPr="002E4C1E">
        <w:t xml:space="preserve">Task Resources Report, which identifies the </w:t>
      </w:r>
      <w:r w:rsidR="002E4C1E" w:rsidRPr="002E4C1E">
        <w:t>Facilities</w:t>
      </w:r>
      <w:r w:rsidRPr="002E4C1E">
        <w:t xml:space="preserve"> associated with each of the Support System Constituent Capabilities</w:t>
      </w:r>
      <w:r w:rsidR="00C50739">
        <w:t xml:space="preserve"> (SSCCs)</w:t>
      </w:r>
      <w:r w:rsidRPr="002E4C1E">
        <w:t>.</w:t>
      </w:r>
    </w:p>
    <w:p w:rsidR="004C7EA7" w:rsidRDefault="004C7EA7" w:rsidP="00181958">
      <w:pPr>
        <w:pStyle w:val="SOWTL2-ASDEFCON"/>
      </w:pPr>
      <w:r>
        <w:t xml:space="preserve">As the FACRR may consider a range of </w:t>
      </w:r>
      <w:r w:rsidR="002E4C1E">
        <w:t>Facilities</w:t>
      </w:r>
      <w:r>
        <w:t xml:space="preserve"> types (eg, maintenance, training, storage, etc), data and information specific to the use of each </w:t>
      </w:r>
      <w:r w:rsidR="002E4C1E">
        <w:t>Facility</w:t>
      </w:r>
      <w:r>
        <w:t xml:space="preserve"> will also be required to support FACRR unless the Commonwealth Representative agrees that all relevant information has been incorporated into the FRAR.</w:t>
      </w:r>
    </w:p>
    <w:p w:rsidR="004C7EA7" w:rsidRDefault="004C7EA7" w:rsidP="00181958">
      <w:pPr>
        <w:pStyle w:val="Note-ASDEFCON"/>
      </w:pPr>
      <w:r>
        <w:t>Note:</w:t>
      </w:r>
      <w:r w:rsidR="007310A6">
        <w:t xml:space="preserve">  </w:t>
      </w:r>
      <w:r>
        <w:t>The Status column in the following three tables indicates whether or not the associated Checklist items are able to be tailored by the Contractor in its SRP, based on the following definitions:</w:t>
      </w:r>
    </w:p>
    <w:p w:rsidR="004C7EA7" w:rsidRDefault="004C7EA7" w:rsidP="00181958">
      <w:pPr>
        <w:pStyle w:val="NoteList-ASDEFCON"/>
      </w:pPr>
      <w:r>
        <w:t>Mandatory items are not to be tailored;</w:t>
      </w:r>
    </w:p>
    <w:p w:rsidR="004C7EA7" w:rsidRDefault="004C7EA7" w:rsidP="00181958">
      <w:pPr>
        <w:pStyle w:val="NoteList-ASDEFCON"/>
      </w:pPr>
      <w:r>
        <w:t xml:space="preserve">Highly Desirable items should not be tailored, but may be tailored depending upon the specifics of the </w:t>
      </w:r>
      <w:r w:rsidR="002E4C1E">
        <w:t>Contract</w:t>
      </w:r>
      <w:r>
        <w:t xml:space="preserve"> and the Contractor’s internal processes; and</w:t>
      </w:r>
    </w:p>
    <w:p w:rsidR="004C7EA7" w:rsidRDefault="004C7EA7" w:rsidP="00181958">
      <w:pPr>
        <w:pStyle w:val="NoteList-ASDEFCON"/>
      </w:pPr>
      <w:r>
        <w:t xml:space="preserve">Optional items may be tailored, based upon the specifics of the </w:t>
      </w:r>
      <w:r w:rsidR="002E4C1E">
        <w:t>Contract</w:t>
      </w:r>
      <w:r>
        <w:t xml:space="preserve"> and the Contractor’s internal processes.</w:t>
      </w:r>
    </w:p>
    <w:p w:rsidR="004C7EA7" w:rsidRDefault="004C7EA7" w:rsidP="00181958">
      <w:pPr>
        <w:pStyle w:val="Note-ASDEFCON"/>
      </w:pPr>
      <w:r>
        <w:t>Notwithstanding the Status assigned to each Checklist item, the items are to be included in the SRP if they are applicable.</w:t>
      </w:r>
    </w:p>
    <w:bookmarkEnd w:id="0"/>
    <w:p w:rsidR="004C7EA7" w:rsidRDefault="004C7EA7" w:rsidP="00181958">
      <w:pPr>
        <w:pStyle w:val="SOWHL1-ASDEFCON"/>
      </w:pPr>
      <w:r>
        <w:t>Review Entry Criteria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237"/>
        <w:gridCol w:w="1276"/>
      </w:tblGrid>
      <w:tr w:rsidR="004C7EA7">
        <w:trPr>
          <w:cantSplit/>
          <w:tblHeader/>
        </w:trPr>
        <w:tc>
          <w:tcPr>
            <w:tcW w:w="709" w:type="dxa"/>
            <w:shd w:val="pct10" w:color="auto" w:fill="FFFFFF"/>
          </w:tcPr>
          <w:p w:rsidR="004C7EA7" w:rsidRDefault="004C7EA7" w:rsidP="00181958">
            <w:pPr>
              <w:pStyle w:val="Table10ptHeading-ASDEFCON"/>
            </w:pPr>
            <w:r>
              <w:t>Item</w:t>
            </w:r>
          </w:p>
        </w:tc>
        <w:tc>
          <w:tcPr>
            <w:tcW w:w="6237" w:type="dxa"/>
            <w:shd w:val="pct10" w:color="auto" w:fill="FFFFFF"/>
          </w:tcPr>
          <w:p w:rsidR="004C7EA7" w:rsidRDefault="004C7EA7" w:rsidP="00181958">
            <w:pPr>
              <w:pStyle w:val="Table10ptHeading-ASDEFCON"/>
            </w:pPr>
            <w:r>
              <w:t>Entry Criteria</w:t>
            </w:r>
          </w:p>
        </w:tc>
        <w:tc>
          <w:tcPr>
            <w:tcW w:w="1276" w:type="dxa"/>
            <w:shd w:val="pct10" w:color="auto" w:fill="FFFFFF"/>
          </w:tcPr>
          <w:p w:rsidR="004C7EA7" w:rsidRDefault="004C7EA7" w:rsidP="00181958">
            <w:pPr>
              <w:pStyle w:val="Table10ptHeading-ASDEFCON"/>
            </w:pPr>
            <w:r>
              <w:t>Status</w:t>
            </w:r>
          </w:p>
        </w:tc>
      </w:tr>
      <w:tr w:rsidR="004C7EA7">
        <w:trPr>
          <w:cantSplit/>
        </w:trPr>
        <w:tc>
          <w:tcPr>
            <w:tcW w:w="709" w:type="dxa"/>
          </w:tcPr>
          <w:p w:rsidR="004C7EA7" w:rsidRDefault="004C7EA7" w:rsidP="00C50739">
            <w:pPr>
              <w:pStyle w:val="ATTANNLV1-ASDEFCON"/>
              <w:spacing w:before="120"/>
            </w:pPr>
          </w:p>
        </w:tc>
        <w:tc>
          <w:tcPr>
            <w:tcW w:w="6237" w:type="dxa"/>
          </w:tcPr>
          <w:p w:rsidR="004C7EA7" w:rsidRDefault="004C7EA7" w:rsidP="00181958">
            <w:pPr>
              <w:pStyle w:val="Table10ptText-ASDEFCON"/>
            </w:pPr>
            <w:r>
              <w:t xml:space="preserve">The </w:t>
            </w:r>
            <w:r w:rsidR="00072C22">
              <w:t xml:space="preserve">data </w:t>
            </w:r>
            <w:r>
              <w:t>items required to be delivered before</w:t>
            </w:r>
            <w:r w:rsidR="008A511E">
              <w:t>, and linked to, the</w:t>
            </w:r>
            <w:r>
              <w:t xml:space="preserve"> FACRR have been delivered and the Commonwealth Representative considers the </w:t>
            </w:r>
            <w:r w:rsidR="00072C22">
              <w:t xml:space="preserve">data </w:t>
            </w:r>
            <w:r>
              <w:t xml:space="preserve">items to be </w:t>
            </w:r>
            <w:r w:rsidR="00072C22">
              <w:t xml:space="preserve">suitable </w:t>
            </w:r>
            <w:r>
              <w:t>for the purposes of conducting FACRR.</w:t>
            </w:r>
          </w:p>
        </w:tc>
        <w:tc>
          <w:tcPr>
            <w:tcW w:w="1276" w:type="dxa"/>
          </w:tcPr>
          <w:p w:rsidR="004C7EA7" w:rsidRDefault="004C7EA7" w:rsidP="00181958">
            <w:pPr>
              <w:pStyle w:val="Table10ptText-ASDEFCON"/>
            </w:pPr>
            <w:r>
              <w:t>Mandatory</w:t>
            </w:r>
          </w:p>
        </w:tc>
      </w:tr>
      <w:tr w:rsidR="004C7EA7">
        <w:trPr>
          <w:cantSplit/>
        </w:trPr>
        <w:tc>
          <w:tcPr>
            <w:tcW w:w="709" w:type="dxa"/>
          </w:tcPr>
          <w:p w:rsidR="004C7EA7" w:rsidRDefault="004C7EA7" w:rsidP="00C50739">
            <w:pPr>
              <w:pStyle w:val="ATTANNLV1-ASDEFCON"/>
              <w:keepNext w:val="0"/>
              <w:keepLines w:val="0"/>
              <w:spacing w:before="120"/>
            </w:pPr>
          </w:p>
        </w:tc>
        <w:tc>
          <w:tcPr>
            <w:tcW w:w="6237" w:type="dxa"/>
          </w:tcPr>
          <w:p w:rsidR="004C7EA7" w:rsidRDefault="004C7EA7" w:rsidP="00C50739">
            <w:pPr>
              <w:pStyle w:val="Table10ptText-ASDEFCON"/>
            </w:pPr>
            <w:r>
              <w:t>Action items from any previous reviews affecting FACRR have been successfully addressed or action plans agreed with the Commonwealth Representative.</w:t>
            </w:r>
          </w:p>
        </w:tc>
        <w:tc>
          <w:tcPr>
            <w:tcW w:w="1276" w:type="dxa"/>
          </w:tcPr>
          <w:p w:rsidR="004C7EA7" w:rsidRDefault="004C7EA7" w:rsidP="00C50739">
            <w:pPr>
              <w:pStyle w:val="Table10ptText-ASDEFCON"/>
            </w:pPr>
            <w:r>
              <w:t>Mandatory</w:t>
            </w:r>
          </w:p>
        </w:tc>
      </w:tr>
      <w:tr w:rsidR="004C7EA7">
        <w:trPr>
          <w:cantSplit/>
        </w:trPr>
        <w:tc>
          <w:tcPr>
            <w:tcW w:w="709" w:type="dxa"/>
          </w:tcPr>
          <w:p w:rsidR="004C7EA7" w:rsidRDefault="004C7EA7" w:rsidP="00C50739">
            <w:pPr>
              <w:pStyle w:val="ATTANNLV1-ASDEFCON"/>
              <w:keepNext w:val="0"/>
              <w:keepLines w:val="0"/>
              <w:spacing w:before="120"/>
            </w:pPr>
          </w:p>
        </w:tc>
        <w:tc>
          <w:tcPr>
            <w:tcW w:w="6237" w:type="dxa"/>
          </w:tcPr>
          <w:p w:rsidR="004C7EA7" w:rsidRDefault="004C7EA7" w:rsidP="00C50739">
            <w:pPr>
              <w:pStyle w:val="Table10ptText-ASDEFCON"/>
            </w:pPr>
            <w:r>
              <w:t xml:space="preserve">Building inspections required by government legislation/by-laws/etc for new or structurally modified </w:t>
            </w:r>
            <w:r w:rsidR="002E4C1E">
              <w:t>Facilities</w:t>
            </w:r>
            <w:r>
              <w:t xml:space="preserve"> have been conducted and the applicable reports/certificates provided to the Commonwealth Representative.</w:t>
            </w:r>
          </w:p>
        </w:tc>
        <w:tc>
          <w:tcPr>
            <w:tcW w:w="1276" w:type="dxa"/>
          </w:tcPr>
          <w:p w:rsidR="004C7EA7" w:rsidRDefault="004C7EA7" w:rsidP="00C50739">
            <w:pPr>
              <w:pStyle w:val="Table10ptText-ASDEFCON"/>
            </w:pPr>
            <w:r>
              <w:t>Highly Desirable</w:t>
            </w:r>
          </w:p>
        </w:tc>
      </w:tr>
      <w:tr w:rsidR="004C7EA7">
        <w:trPr>
          <w:cantSplit/>
        </w:trPr>
        <w:tc>
          <w:tcPr>
            <w:tcW w:w="709" w:type="dxa"/>
          </w:tcPr>
          <w:p w:rsidR="004C7EA7" w:rsidRDefault="004C7EA7" w:rsidP="00C50739">
            <w:pPr>
              <w:pStyle w:val="ATTANNLV1-ASDEFCON"/>
              <w:keepNext w:val="0"/>
              <w:keepLines w:val="0"/>
              <w:spacing w:before="120"/>
            </w:pPr>
          </w:p>
        </w:tc>
        <w:tc>
          <w:tcPr>
            <w:tcW w:w="6237" w:type="dxa"/>
          </w:tcPr>
          <w:p w:rsidR="004C7EA7" w:rsidRDefault="004C7EA7" w:rsidP="00C50739">
            <w:pPr>
              <w:pStyle w:val="Table10ptText-ASDEFCON"/>
            </w:pPr>
            <w:r>
              <w:t>All required building inspections related to use (eg, explosive storage rating, security, electromagnetic shielding, energy efficiency, etc) have been performed and applicable reports</w:t>
            </w:r>
            <w:r w:rsidR="00877C0F">
              <w:t xml:space="preserve"> and</w:t>
            </w:r>
            <w:r>
              <w:t>/</w:t>
            </w:r>
            <w:r w:rsidR="00877C0F">
              <w:t xml:space="preserve">or </w:t>
            </w:r>
            <w:r>
              <w:t>certificates have been provided to the Commonwealth Representative.</w:t>
            </w:r>
          </w:p>
        </w:tc>
        <w:tc>
          <w:tcPr>
            <w:tcW w:w="1276" w:type="dxa"/>
          </w:tcPr>
          <w:p w:rsidR="004C7EA7" w:rsidRDefault="004C7EA7" w:rsidP="00C50739">
            <w:pPr>
              <w:pStyle w:val="Table10ptText-ASDEFCON"/>
            </w:pPr>
            <w:r>
              <w:t>Highly Desirable</w:t>
            </w:r>
          </w:p>
        </w:tc>
      </w:tr>
      <w:tr w:rsidR="004C7EA7">
        <w:trPr>
          <w:cantSplit/>
        </w:trPr>
        <w:tc>
          <w:tcPr>
            <w:tcW w:w="709" w:type="dxa"/>
          </w:tcPr>
          <w:p w:rsidR="004C7EA7" w:rsidRDefault="004C7EA7" w:rsidP="00C50739">
            <w:pPr>
              <w:pStyle w:val="ATTANNLV1-ASDEFCON"/>
              <w:keepNext w:val="0"/>
              <w:keepLines w:val="0"/>
              <w:spacing w:before="120"/>
            </w:pPr>
          </w:p>
        </w:tc>
        <w:tc>
          <w:tcPr>
            <w:tcW w:w="6237" w:type="dxa"/>
          </w:tcPr>
          <w:p w:rsidR="004C7EA7" w:rsidRDefault="004C7EA7" w:rsidP="00C50739">
            <w:pPr>
              <w:pStyle w:val="Table10ptText-ASDEFCON"/>
            </w:pPr>
            <w:r>
              <w:t xml:space="preserve">If applicable, all necessary licences, permits and workplace registrations (eg, </w:t>
            </w:r>
            <w:r w:rsidR="00CE6105">
              <w:t>Work Health and Safety (WHS)</w:t>
            </w:r>
            <w:r>
              <w:t xml:space="preserve"> and environmental) for the </w:t>
            </w:r>
            <w:r w:rsidR="002E4C1E">
              <w:t>Facilities</w:t>
            </w:r>
            <w:r>
              <w:t xml:space="preserve"> and/or for the activities to be conducted in the </w:t>
            </w:r>
            <w:r w:rsidR="002E4C1E">
              <w:t>Facilities</w:t>
            </w:r>
            <w:r>
              <w:t xml:space="preserve"> are in place, or sufficient progress has been made in obtaining these licences, permits and workplace registrations to enable FACRR to be entered.</w:t>
            </w:r>
          </w:p>
        </w:tc>
        <w:tc>
          <w:tcPr>
            <w:tcW w:w="1276" w:type="dxa"/>
          </w:tcPr>
          <w:p w:rsidR="004C7EA7" w:rsidRDefault="004C7EA7" w:rsidP="00C50739">
            <w:pPr>
              <w:pStyle w:val="Table10ptText-ASDEFCON"/>
            </w:pPr>
            <w:r>
              <w:t>Mandatory</w:t>
            </w:r>
          </w:p>
        </w:tc>
      </w:tr>
    </w:tbl>
    <w:p w:rsidR="004C7EA7" w:rsidRDefault="004C7EA7" w:rsidP="00181958">
      <w:pPr>
        <w:pStyle w:val="ASDEFCONNormal"/>
      </w:pPr>
    </w:p>
    <w:p w:rsidR="004C7EA7" w:rsidRDefault="004C7EA7" w:rsidP="00181958">
      <w:pPr>
        <w:pStyle w:val="SOWHL1-ASDEFCON"/>
      </w:pPr>
      <w:r>
        <w:t>Review Checklist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237"/>
        <w:gridCol w:w="1276"/>
      </w:tblGrid>
      <w:tr w:rsidR="004C7EA7" w:rsidTr="00072C22">
        <w:trPr>
          <w:tblHeader/>
        </w:trPr>
        <w:tc>
          <w:tcPr>
            <w:tcW w:w="709" w:type="dxa"/>
            <w:shd w:val="pct10" w:color="auto" w:fill="FFFFFF"/>
          </w:tcPr>
          <w:p w:rsidR="004C7EA7" w:rsidRDefault="004C7EA7" w:rsidP="00181958">
            <w:pPr>
              <w:pStyle w:val="Table10ptHeading-ASDEFCON"/>
            </w:pPr>
            <w:r>
              <w:t>Item</w:t>
            </w:r>
          </w:p>
        </w:tc>
        <w:tc>
          <w:tcPr>
            <w:tcW w:w="6237" w:type="dxa"/>
            <w:shd w:val="pct10" w:color="auto" w:fill="FFFFFF"/>
          </w:tcPr>
          <w:p w:rsidR="004C7EA7" w:rsidRDefault="004C7EA7" w:rsidP="00181958">
            <w:pPr>
              <w:pStyle w:val="Table10ptHeading-ASDEFCON"/>
            </w:pPr>
            <w:r>
              <w:t>Checklist Item</w:t>
            </w:r>
          </w:p>
        </w:tc>
        <w:tc>
          <w:tcPr>
            <w:tcW w:w="1276" w:type="dxa"/>
            <w:shd w:val="pct10" w:color="auto" w:fill="FFFFFF"/>
          </w:tcPr>
          <w:p w:rsidR="004C7EA7" w:rsidRDefault="004C7EA7" w:rsidP="00181958">
            <w:pPr>
              <w:pStyle w:val="Table10ptHeading-ASDEFCON"/>
            </w:pPr>
            <w:r>
              <w:t>Status</w:t>
            </w:r>
          </w:p>
        </w:tc>
      </w:tr>
      <w:tr w:rsidR="004C7EA7" w:rsidTr="00072C22">
        <w:tc>
          <w:tcPr>
            <w:tcW w:w="709" w:type="dxa"/>
          </w:tcPr>
          <w:p w:rsidR="004C7EA7" w:rsidRDefault="004C7EA7" w:rsidP="00B0549C">
            <w:pPr>
              <w:pStyle w:val="ATTANNLV1-ASDEFCON"/>
              <w:keepNext w:val="0"/>
              <w:numPr>
                <w:ilvl w:val="0"/>
                <w:numId w:val="26"/>
              </w:numPr>
              <w:spacing w:before="120"/>
            </w:pPr>
          </w:p>
        </w:tc>
        <w:tc>
          <w:tcPr>
            <w:tcW w:w="6237" w:type="dxa"/>
          </w:tcPr>
          <w:p w:rsidR="004C7EA7" w:rsidRDefault="004C7EA7" w:rsidP="00181958">
            <w:pPr>
              <w:pStyle w:val="Table10ptText-ASDEFCON"/>
            </w:pPr>
            <w:r>
              <w:t>Were all entry criteria satisfied before starting FACRR?</w:t>
            </w:r>
          </w:p>
        </w:tc>
        <w:tc>
          <w:tcPr>
            <w:tcW w:w="1276" w:type="dxa"/>
          </w:tcPr>
          <w:p w:rsidR="004C7EA7" w:rsidRDefault="004C7EA7" w:rsidP="00181958">
            <w:pPr>
              <w:pStyle w:val="Table10ptText-ASDEFCON"/>
            </w:pPr>
            <w:r>
              <w:t>Mandatory</w:t>
            </w:r>
          </w:p>
        </w:tc>
      </w:tr>
      <w:tr w:rsidR="004C7EA7" w:rsidTr="00072C22">
        <w:tc>
          <w:tcPr>
            <w:tcW w:w="709" w:type="dxa"/>
          </w:tcPr>
          <w:p w:rsidR="004C7EA7" w:rsidRDefault="004C7EA7" w:rsidP="00C50739">
            <w:pPr>
              <w:pStyle w:val="ATTANNLV1-ASDEFCON"/>
              <w:keepNext w:val="0"/>
              <w:keepLines w:val="0"/>
              <w:spacing w:before="120"/>
            </w:pPr>
          </w:p>
        </w:tc>
        <w:tc>
          <w:tcPr>
            <w:tcW w:w="6237" w:type="dxa"/>
          </w:tcPr>
          <w:p w:rsidR="004C7EA7" w:rsidRDefault="004C7EA7" w:rsidP="00C50739">
            <w:pPr>
              <w:pStyle w:val="Table10ptText-ASDEFCON"/>
            </w:pPr>
            <w:r>
              <w:t xml:space="preserve">Has the impact of </w:t>
            </w:r>
            <w:r w:rsidR="001861D1">
              <w:t>A</w:t>
            </w:r>
            <w:r w:rsidR="002E4C1E">
              <w:t xml:space="preserve">pproved </w:t>
            </w:r>
            <w:r w:rsidR="00350E1A">
              <w:t xml:space="preserve">and pending </w:t>
            </w:r>
            <w:r w:rsidR="00D707EE">
              <w:t>Contract Change Proposals (</w:t>
            </w:r>
            <w:r w:rsidR="002E4C1E">
              <w:t>CCPs</w:t>
            </w:r>
            <w:r w:rsidR="00D707EE">
              <w:t>)</w:t>
            </w:r>
            <w:r>
              <w:t xml:space="preserve"> been assessed?</w:t>
            </w:r>
          </w:p>
        </w:tc>
        <w:tc>
          <w:tcPr>
            <w:tcW w:w="1276" w:type="dxa"/>
          </w:tcPr>
          <w:p w:rsidR="004C7EA7" w:rsidRDefault="004C7EA7" w:rsidP="00C50739">
            <w:pPr>
              <w:pStyle w:val="Table10ptText-ASDEFCON"/>
            </w:pPr>
            <w:r>
              <w:t>Highly Desirable</w:t>
            </w:r>
          </w:p>
        </w:tc>
      </w:tr>
      <w:tr w:rsidR="004C7EA7" w:rsidTr="00072C22">
        <w:tc>
          <w:tcPr>
            <w:tcW w:w="709" w:type="dxa"/>
          </w:tcPr>
          <w:p w:rsidR="004C7EA7" w:rsidRDefault="004C7EA7" w:rsidP="00C50739">
            <w:pPr>
              <w:pStyle w:val="ATTANNLV1-ASDEFCON"/>
              <w:keepNext w:val="0"/>
              <w:keepLines w:val="0"/>
              <w:spacing w:before="120"/>
            </w:pPr>
          </w:p>
        </w:tc>
        <w:tc>
          <w:tcPr>
            <w:tcW w:w="6237" w:type="dxa"/>
          </w:tcPr>
          <w:p w:rsidR="004C7EA7" w:rsidRDefault="004C7EA7" w:rsidP="00C50739">
            <w:pPr>
              <w:pStyle w:val="Table10ptText-ASDEFCON"/>
            </w:pPr>
            <w:r>
              <w:t xml:space="preserve">Have all Commonwealth Representative review comments against </w:t>
            </w:r>
            <w:r w:rsidR="00072C22">
              <w:t xml:space="preserve">data </w:t>
            </w:r>
            <w:r>
              <w:t>items been adequately addressed?</w:t>
            </w:r>
          </w:p>
        </w:tc>
        <w:tc>
          <w:tcPr>
            <w:tcW w:w="1276" w:type="dxa"/>
          </w:tcPr>
          <w:p w:rsidR="004C7EA7" w:rsidRDefault="004C7EA7" w:rsidP="00C50739">
            <w:pPr>
              <w:pStyle w:val="Table10ptText-ASDEFCON"/>
            </w:pPr>
            <w:r>
              <w:t>Mandatory</w:t>
            </w:r>
          </w:p>
        </w:tc>
      </w:tr>
      <w:tr w:rsidR="004C7EA7" w:rsidTr="00072C22">
        <w:tc>
          <w:tcPr>
            <w:tcW w:w="709" w:type="dxa"/>
          </w:tcPr>
          <w:p w:rsidR="004C7EA7" w:rsidRDefault="004C7EA7" w:rsidP="00C50739">
            <w:pPr>
              <w:pStyle w:val="ATTANNLV1-ASDEFCON"/>
              <w:keepNext w:val="0"/>
              <w:keepLines w:val="0"/>
              <w:spacing w:before="120"/>
            </w:pPr>
          </w:p>
        </w:tc>
        <w:tc>
          <w:tcPr>
            <w:tcW w:w="6237" w:type="dxa"/>
          </w:tcPr>
          <w:p w:rsidR="004C7EA7" w:rsidRDefault="004C7EA7" w:rsidP="00C50739">
            <w:pPr>
              <w:pStyle w:val="Table10ptText-ASDEFCON"/>
            </w:pPr>
            <w:r>
              <w:t xml:space="preserve">Do the new/modified </w:t>
            </w:r>
            <w:r w:rsidR="002E4C1E">
              <w:t>Facilities</w:t>
            </w:r>
            <w:r>
              <w:t xml:space="preserve"> accord with the </w:t>
            </w:r>
            <w:r w:rsidR="002E4C1E">
              <w:t>Facilities</w:t>
            </w:r>
            <w:r>
              <w:t xml:space="preserve"> requirements documented in the Approved FRAR or other Approved Facilities requirements document, as </w:t>
            </w:r>
            <w:r w:rsidR="00DD04D0">
              <w:t>required under the Contract</w:t>
            </w:r>
            <w:r>
              <w:t>?</w:t>
            </w:r>
          </w:p>
        </w:tc>
        <w:tc>
          <w:tcPr>
            <w:tcW w:w="1276" w:type="dxa"/>
          </w:tcPr>
          <w:p w:rsidR="004C7EA7" w:rsidRDefault="004C7EA7" w:rsidP="00C50739">
            <w:pPr>
              <w:pStyle w:val="Table10ptText-ASDEFCON"/>
            </w:pPr>
            <w:r>
              <w:t>Mandatory</w:t>
            </w:r>
          </w:p>
        </w:tc>
      </w:tr>
      <w:tr w:rsidR="004C7EA7" w:rsidTr="00072C22">
        <w:tc>
          <w:tcPr>
            <w:tcW w:w="709" w:type="dxa"/>
          </w:tcPr>
          <w:p w:rsidR="004C7EA7" w:rsidRDefault="004C7EA7" w:rsidP="00C50739">
            <w:pPr>
              <w:pStyle w:val="ATTANNLV1-ASDEFCON"/>
              <w:keepNext w:val="0"/>
              <w:keepLines w:val="0"/>
              <w:spacing w:before="120"/>
            </w:pPr>
          </w:p>
        </w:tc>
        <w:tc>
          <w:tcPr>
            <w:tcW w:w="6237" w:type="dxa"/>
          </w:tcPr>
          <w:p w:rsidR="004C7EA7" w:rsidRDefault="004C7EA7" w:rsidP="00C50739">
            <w:pPr>
              <w:pStyle w:val="Table10ptText-ASDEFCON"/>
            </w:pPr>
            <w:r>
              <w:t xml:space="preserve">Has the required Facilities information been documented in the LSAR or the Task Resources Report(s), as </w:t>
            </w:r>
            <w:r w:rsidR="00DD04D0">
              <w:t>required under the Contract?</w:t>
            </w:r>
          </w:p>
        </w:tc>
        <w:tc>
          <w:tcPr>
            <w:tcW w:w="1276" w:type="dxa"/>
          </w:tcPr>
          <w:p w:rsidR="004C7EA7" w:rsidRDefault="004C7EA7" w:rsidP="00C50739">
            <w:pPr>
              <w:pStyle w:val="Table10ptText-ASDEFCON"/>
            </w:pPr>
            <w:r>
              <w:t>Optional</w:t>
            </w:r>
          </w:p>
        </w:tc>
      </w:tr>
      <w:tr w:rsidR="004C7EA7" w:rsidTr="00072C22">
        <w:tc>
          <w:tcPr>
            <w:tcW w:w="709" w:type="dxa"/>
          </w:tcPr>
          <w:p w:rsidR="004C7EA7" w:rsidRDefault="004C7EA7" w:rsidP="00C50739">
            <w:pPr>
              <w:pStyle w:val="ATTANNLV1-ASDEFCON"/>
              <w:keepNext w:val="0"/>
              <w:keepLines w:val="0"/>
              <w:spacing w:before="120"/>
            </w:pPr>
          </w:p>
        </w:tc>
        <w:tc>
          <w:tcPr>
            <w:tcW w:w="6237" w:type="dxa"/>
          </w:tcPr>
          <w:p w:rsidR="004C7EA7" w:rsidRDefault="004C7EA7" w:rsidP="00C50739">
            <w:pPr>
              <w:pStyle w:val="Table10ptText-ASDEFCON"/>
            </w:pPr>
            <w:r>
              <w:t xml:space="preserve">Do the new/modified </w:t>
            </w:r>
            <w:r w:rsidR="002E4C1E">
              <w:t>Facilities</w:t>
            </w:r>
            <w:r>
              <w:t xml:space="preserve">, and applicable equipment fit-out, support the functions required to achieve the Mission System availability and sustainability described in the </w:t>
            </w:r>
            <w:r w:rsidR="00DD04D0">
              <w:t>F</w:t>
            </w:r>
            <w:r>
              <w:t xml:space="preserve">unctional </w:t>
            </w:r>
            <w:r w:rsidR="00DD04D0">
              <w:t>B</w:t>
            </w:r>
            <w:r>
              <w:t xml:space="preserve">aselines </w:t>
            </w:r>
            <w:r w:rsidR="00DD04D0">
              <w:t xml:space="preserve">(FBLs) </w:t>
            </w:r>
            <w:r>
              <w:t xml:space="preserve">and in the Operational Concept Document (OCD) (ie, will the </w:t>
            </w:r>
            <w:r w:rsidR="002E4C1E">
              <w:t>Facilities</w:t>
            </w:r>
            <w:r>
              <w:t xml:space="preserve"> be able to perform their required functions)?</w:t>
            </w:r>
          </w:p>
        </w:tc>
        <w:tc>
          <w:tcPr>
            <w:tcW w:w="1276" w:type="dxa"/>
          </w:tcPr>
          <w:p w:rsidR="004C7EA7" w:rsidRDefault="004C7EA7" w:rsidP="00C50739">
            <w:pPr>
              <w:pStyle w:val="Table10ptText-ASDEFCON"/>
            </w:pPr>
            <w:r>
              <w:t>Mandatory</w:t>
            </w:r>
          </w:p>
        </w:tc>
      </w:tr>
      <w:tr w:rsidR="004C7EA7" w:rsidTr="00072C22">
        <w:tc>
          <w:tcPr>
            <w:tcW w:w="709" w:type="dxa"/>
          </w:tcPr>
          <w:p w:rsidR="004C7EA7" w:rsidRDefault="004C7EA7" w:rsidP="00C50739">
            <w:pPr>
              <w:pStyle w:val="ATTANNLV1-ASDEFCON"/>
              <w:keepNext w:val="0"/>
              <w:keepLines w:val="0"/>
              <w:spacing w:before="120"/>
            </w:pPr>
          </w:p>
        </w:tc>
        <w:tc>
          <w:tcPr>
            <w:tcW w:w="6237" w:type="dxa"/>
          </w:tcPr>
          <w:p w:rsidR="004C7EA7" w:rsidRDefault="004C7EA7" w:rsidP="00C50739">
            <w:pPr>
              <w:pStyle w:val="Table10ptText-ASDEFCON"/>
            </w:pPr>
            <w:r>
              <w:t xml:space="preserve">Do the new/modified </w:t>
            </w:r>
            <w:r w:rsidR="002E4C1E">
              <w:t>Facilities</w:t>
            </w:r>
            <w:r>
              <w:t xml:space="preserve">, and applicable equipment fit-out, have the capacity to undertake the predicted workload (ie, utilisation rate) required to achieve the Mission System availability and sustainability described in the </w:t>
            </w:r>
            <w:r w:rsidR="00DD04D0">
              <w:t>FBLs</w:t>
            </w:r>
            <w:r>
              <w:t xml:space="preserve"> (ie, can the </w:t>
            </w:r>
            <w:r w:rsidR="002E4C1E">
              <w:t>Facilities</w:t>
            </w:r>
            <w:r>
              <w:t>, for example, accommodate the maintenance throughput or student courses per year)?</w:t>
            </w:r>
          </w:p>
        </w:tc>
        <w:tc>
          <w:tcPr>
            <w:tcW w:w="1276" w:type="dxa"/>
          </w:tcPr>
          <w:p w:rsidR="004C7EA7" w:rsidRDefault="004C7EA7" w:rsidP="00C50739">
            <w:pPr>
              <w:pStyle w:val="Table10ptText-ASDEFCON"/>
            </w:pPr>
            <w:r>
              <w:t>Mandatory</w:t>
            </w:r>
          </w:p>
        </w:tc>
      </w:tr>
      <w:tr w:rsidR="004C7EA7" w:rsidTr="00072C22">
        <w:tc>
          <w:tcPr>
            <w:tcW w:w="709" w:type="dxa"/>
          </w:tcPr>
          <w:p w:rsidR="004C7EA7" w:rsidRDefault="004C7EA7" w:rsidP="00C50739">
            <w:pPr>
              <w:pStyle w:val="ATTANNLV1-ASDEFCON"/>
              <w:keepNext w:val="0"/>
              <w:keepLines w:val="0"/>
              <w:spacing w:before="120"/>
            </w:pPr>
          </w:p>
        </w:tc>
        <w:tc>
          <w:tcPr>
            <w:tcW w:w="6237" w:type="dxa"/>
          </w:tcPr>
          <w:p w:rsidR="004C7EA7" w:rsidRDefault="004C7EA7" w:rsidP="00C50739">
            <w:pPr>
              <w:pStyle w:val="Table10ptText-ASDEFCON"/>
            </w:pPr>
            <w:r>
              <w:t xml:space="preserve">Do the new/modified </w:t>
            </w:r>
            <w:r w:rsidR="002E4C1E">
              <w:t>Facilities</w:t>
            </w:r>
            <w:r>
              <w:t xml:space="preserve">, and applicable equipment fit-out, meet the Commonwealth's support concepts for each of the </w:t>
            </w:r>
            <w:r w:rsidR="00C50739">
              <w:t>SSCCs</w:t>
            </w:r>
            <w:r>
              <w:t xml:space="preserve"> (ie, concepts for Operati</w:t>
            </w:r>
            <w:r w:rsidR="00DD04D0">
              <w:t>ng</w:t>
            </w:r>
            <w:r>
              <w:t xml:space="preserve"> Support, Engineering Support, Maintenance Support, Supply Support and Training Support), as documented in the OCD?</w:t>
            </w:r>
          </w:p>
        </w:tc>
        <w:tc>
          <w:tcPr>
            <w:tcW w:w="1276" w:type="dxa"/>
          </w:tcPr>
          <w:p w:rsidR="004C7EA7" w:rsidRDefault="004C7EA7" w:rsidP="00C50739">
            <w:pPr>
              <w:pStyle w:val="Table10ptText-ASDEFCON"/>
            </w:pPr>
            <w:r>
              <w:t>Highly Desirable</w:t>
            </w:r>
          </w:p>
        </w:tc>
      </w:tr>
      <w:tr w:rsidR="004C7EA7" w:rsidTr="00072C22">
        <w:tc>
          <w:tcPr>
            <w:tcW w:w="709" w:type="dxa"/>
          </w:tcPr>
          <w:p w:rsidR="004C7EA7" w:rsidRDefault="004C7EA7" w:rsidP="00C50739">
            <w:pPr>
              <w:pStyle w:val="ATTANNLV1-ASDEFCON"/>
              <w:keepNext w:val="0"/>
              <w:keepLines w:val="0"/>
              <w:spacing w:before="120"/>
            </w:pPr>
          </w:p>
        </w:tc>
        <w:tc>
          <w:tcPr>
            <w:tcW w:w="6237" w:type="dxa"/>
          </w:tcPr>
          <w:p w:rsidR="004C7EA7" w:rsidRDefault="004C7EA7" w:rsidP="00C50739">
            <w:pPr>
              <w:pStyle w:val="Table10ptText-ASDEFCON"/>
            </w:pPr>
            <w:r>
              <w:t xml:space="preserve">Will the new/modified </w:t>
            </w:r>
            <w:r w:rsidR="002E4C1E">
              <w:t>Facilities</w:t>
            </w:r>
            <w:r>
              <w:t xml:space="preserve">, and applicable equipment fit-out, enable the Mission System to successfully undertake the contingency requirements described in the Mission System and Support System </w:t>
            </w:r>
            <w:r w:rsidR="00DD04D0">
              <w:t>FBLs</w:t>
            </w:r>
            <w:r>
              <w:t xml:space="preserve"> and in the OCD?</w:t>
            </w:r>
          </w:p>
        </w:tc>
        <w:tc>
          <w:tcPr>
            <w:tcW w:w="1276" w:type="dxa"/>
          </w:tcPr>
          <w:p w:rsidR="004C7EA7" w:rsidRDefault="004C7EA7" w:rsidP="00C50739">
            <w:pPr>
              <w:pStyle w:val="Table10ptText-ASDEFCON"/>
            </w:pPr>
            <w:r>
              <w:t>Highly Desirable</w:t>
            </w:r>
          </w:p>
        </w:tc>
      </w:tr>
      <w:tr w:rsidR="004C7EA7" w:rsidTr="00072C22">
        <w:tc>
          <w:tcPr>
            <w:tcW w:w="709" w:type="dxa"/>
          </w:tcPr>
          <w:p w:rsidR="004C7EA7" w:rsidRDefault="004C7EA7" w:rsidP="00C50739">
            <w:pPr>
              <w:pStyle w:val="ATTANNLV1-ASDEFCON"/>
              <w:keepNext w:val="0"/>
              <w:keepLines w:val="0"/>
              <w:spacing w:before="120"/>
            </w:pPr>
          </w:p>
        </w:tc>
        <w:tc>
          <w:tcPr>
            <w:tcW w:w="6237" w:type="dxa"/>
          </w:tcPr>
          <w:p w:rsidR="004C7EA7" w:rsidRDefault="004C7EA7" w:rsidP="00C50739">
            <w:pPr>
              <w:pStyle w:val="Table10ptText-ASDEFCON"/>
            </w:pPr>
            <w:r>
              <w:t xml:space="preserve">Will the new/modified </w:t>
            </w:r>
            <w:r w:rsidR="002E4C1E">
              <w:t>Facilities</w:t>
            </w:r>
            <w:r>
              <w:t xml:space="preserve">, and equipment fit-out, enable the requirements documented in the Support System </w:t>
            </w:r>
            <w:r w:rsidR="00DD04D0">
              <w:t>FBL</w:t>
            </w:r>
            <w:r>
              <w:t xml:space="preserve"> to be met at a minimised Life Cycle Cost (LCC)?</w:t>
            </w:r>
          </w:p>
        </w:tc>
        <w:tc>
          <w:tcPr>
            <w:tcW w:w="1276" w:type="dxa"/>
          </w:tcPr>
          <w:p w:rsidR="004C7EA7" w:rsidRDefault="004C7EA7" w:rsidP="00C50739">
            <w:pPr>
              <w:pStyle w:val="Table10ptText-ASDEFCON"/>
            </w:pPr>
            <w:r>
              <w:t>Mandatory</w:t>
            </w:r>
          </w:p>
        </w:tc>
      </w:tr>
      <w:tr w:rsidR="004C7EA7" w:rsidTr="00072C22">
        <w:tc>
          <w:tcPr>
            <w:tcW w:w="709" w:type="dxa"/>
          </w:tcPr>
          <w:p w:rsidR="004C7EA7" w:rsidRDefault="004C7EA7" w:rsidP="00C50739">
            <w:pPr>
              <w:pStyle w:val="ATTANNLV1-ASDEFCON"/>
              <w:keepNext w:val="0"/>
              <w:keepLines w:val="0"/>
              <w:spacing w:before="120"/>
            </w:pPr>
          </w:p>
        </w:tc>
        <w:tc>
          <w:tcPr>
            <w:tcW w:w="6237" w:type="dxa"/>
          </w:tcPr>
          <w:p w:rsidR="004C7EA7" w:rsidRDefault="004C7EA7" w:rsidP="00C50739">
            <w:pPr>
              <w:pStyle w:val="Table10ptText-ASDEFCON"/>
            </w:pPr>
            <w:r>
              <w:t xml:space="preserve">If applicable, have plans or support contracts been put in place for the upkeep and maintenance of the new/modified </w:t>
            </w:r>
            <w:r w:rsidR="002E4C1E">
              <w:t>Facilities</w:t>
            </w:r>
            <w:r>
              <w:t xml:space="preserve"> and equipment fit-out?</w:t>
            </w:r>
          </w:p>
        </w:tc>
        <w:tc>
          <w:tcPr>
            <w:tcW w:w="1276" w:type="dxa"/>
          </w:tcPr>
          <w:p w:rsidR="004C7EA7" w:rsidRDefault="004C7EA7" w:rsidP="00C50739">
            <w:pPr>
              <w:pStyle w:val="Table10ptText-ASDEFCON"/>
            </w:pPr>
            <w:r>
              <w:t>Highly Desirable</w:t>
            </w:r>
          </w:p>
        </w:tc>
      </w:tr>
      <w:tr w:rsidR="004C7EA7" w:rsidTr="00072C22">
        <w:tc>
          <w:tcPr>
            <w:tcW w:w="709" w:type="dxa"/>
          </w:tcPr>
          <w:p w:rsidR="004C7EA7" w:rsidRDefault="004C7EA7" w:rsidP="00C50739">
            <w:pPr>
              <w:pStyle w:val="ATTANNLV1-ASDEFCON"/>
              <w:keepNext w:val="0"/>
              <w:keepLines w:val="0"/>
              <w:spacing w:before="120"/>
            </w:pPr>
          </w:p>
        </w:tc>
        <w:tc>
          <w:tcPr>
            <w:tcW w:w="6237" w:type="dxa"/>
          </w:tcPr>
          <w:p w:rsidR="004C7EA7" w:rsidRDefault="004C7EA7" w:rsidP="00C50739">
            <w:pPr>
              <w:pStyle w:val="Table10ptText-ASDEFCON"/>
            </w:pPr>
            <w:r>
              <w:t xml:space="preserve">Have applicable provisioning lists been prepared to ensure that the required </w:t>
            </w:r>
            <w:r w:rsidR="00DD04D0">
              <w:t>S</w:t>
            </w:r>
            <w:r>
              <w:t xml:space="preserve">upport </w:t>
            </w:r>
            <w:r w:rsidR="00DD04D0">
              <w:t xml:space="preserve">System Components </w:t>
            </w:r>
            <w:r>
              <w:t xml:space="preserve">to be procured (eg, </w:t>
            </w:r>
            <w:r w:rsidR="00DD04D0">
              <w:t>S</w:t>
            </w:r>
            <w:r>
              <w:t xml:space="preserve">pares for back-up power generators, S&amp;TE, </w:t>
            </w:r>
            <w:r w:rsidR="00DD04D0">
              <w:t>T</w:t>
            </w:r>
            <w:r>
              <w:t xml:space="preserve">raining </w:t>
            </w:r>
            <w:r w:rsidR="00DD04D0">
              <w:t>E</w:t>
            </w:r>
            <w:r>
              <w:t>quipment, etc) have been included but not duplicated?</w:t>
            </w:r>
          </w:p>
        </w:tc>
        <w:tc>
          <w:tcPr>
            <w:tcW w:w="1276" w:type="dxa"/>
          </w:tcPr>
          <w:p w:rsidR="004C7EA7" w:rsidRDefault="004C7EA7" w:rsidP="00C50739">
            <w:pPr>
              <w:pStyle w:val="Table10ptText-ASDEFCON"/>
            </w:pPr>
            <w:r>
              <w:t>Highly Desirable</w:t>
            </w:r>
          </w:p>
        </w:tc>
      </w:tr>
    </w:tbl>
    <w:p w:rsidR="004C7EA7" w:rsidRPr="00C50739" w:rsidRDefault="004C7EA7" w:rsidP="00C50739">
      <w:pPr>
        <w:pStyle w:val="ASDEFCONNormal"/>
      </w:pPr>
    </w:p>
    <w:p w:rsidR="004C7EA7" w:rsidRDefault="004C7EA7" w:rsidP="00181958">
      <w:pPr>
        <w:pStyle w:val="SOWHL1-ASDEFCON"/>
      </w:pPr>
      <w:r>
        <w:t>Review Exit Criteria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237"/>
        <w:gridCol w:w="1276"/>
      </w:tblGrid>
      <w:tr w:rsidR="004C7EA7" w:rsidTr="00DD04D0">
        <w:trPr>
          <w:cantSplit/>
        </w:trPr>
        <w:tc>
          <w:tcPr>
            <w:tcW w:w="709" w:type="dxa"/>
            <w:shd w:val="pct10" w:color="auto" w:fill="FFFFFF"/>
          </w:tcPr>
          <w:p w:rsidR="004C7EA7" w:rsidRDefault="004C7EA7" w:rsidP="00181958">
            <w:pPr>
              <w:pStyle w:val="Table10ptHeading-ASDEFCON"/>
            </w:pPr>
            <w:r>
              <w:t>Item</w:t>
            </w:r>
          </w:p>
        </w:tc>
        <w:tc>
          <w:tcPr>
            <w:tcW w:w="6237" w:type="dxa"/>
            <w:shd w:val="pct10" w:color="auto" w:fill="FFFFFF"/>
          </w:tcPr>
          <w:p w:rsidR="004C7EA7" w:rsidRDefault="004C7EA7" w:rsidP="00181958">
            <w:pPr>
              <w:pStyle w:val="Table10ptHeading-ASDEFCON"/>
            </w:pPr>
            <w:r>
              <w:t>Exit Criteria</w:t>
            </w:r>
          </w:p>
        </w:tc>
        <w:tc>
          <w:tcPr>
            <w:tcW w:w="1276" w:type="dxa"/>
            <w:shd w:val="pct10" w:color="auto" w:fill="FFFFFF"/>
          </w:tcPr>
          <w:p w:rsidR="004C7EA7" w:rsidRDefault="004C7EA7" w:rsidP="00181958">
            <w:pPr>
              <w:pStyle w:val="Table10ptHeading-ASDEFCON"/>
            </w:pPr>
            <w:r>
              <w:t>Status</w:t>
            </w:r>
          </w:p>
        </w:tc>
      </w:tr>
      <w:tr w:rsidR="004C7EA7" w:rsidTr="00DD04D0">
        <w:trPr>
          <w:cantSplit/>
        </w:trPr>
        <w:tc>
          <w:tcPr>
            <w:tcW w:w="709" w:type="dxa"/>
          </w:tcPr>
          <w:p w:rsidR="0038036A" w:rsidRDefault="0038036A" w:rsidP="00B0549C">
            <w:pPr>
              <w:pStyle w:val="ATTANNLV1-ASDEFCON"/>
              <w:keepNext w:val="0"/>
              <w:numPr>
                <w:ilvl w:val="0"/>
                <w:numId w:val="25"/>
              </w:numPr>
              <w:spacing w:before="120"/>
            </w:pPr>
          </w:p>
        </w:tc>
        <w:tc>
          <w:tcPr>
            <w:tcW w:w="6237" w:type="dxa"/>
          </w:tcPr>
          <w:p w:rsidR="004C7EA7" w:rsidRDefault="004C7EA7" w:rsidP="00181958">
            <w:pPr>
              <w:pStyle w:val="Table10ptText-ASDEFCON"/>
            </w:pPr>
            <w:r>
              <w:t>All checklist items have been addressed to the satisfaction of the Contractor and the Commonwealth Representative.</w:t>
            </w:r>
          </w:p>
        </w:tc>
        <w:tc>
          <w:tcPr>
            <w:tcW w:w="1276" w:type="dxa"/>
          </w:tcPr>
          <w:p w:rsidR="004C7EA7" w:rsidRDefault="004C7EA7" w:rsidP="00181958">
            <w:pPr>
              <w:pStyle w:val="Table10ptText-ASDEFCON"/>
            </w:pPr>
            <w:r>
              <w:t>Mandatory</w:t>
            </w:r>
          </w:p>
        </w:tc>
      </w:tr>
      <w:tr w:rsidR="004C7EA7" w:rsidTr="00DD04D0">
        <w:trPr>
          <w:cantSplit/>
        </w:trPr>
        <w:tc>
          <w:tcPr>
            <w:tcW w:w="709" w:type="dxa"/>
          </w:tcPr>
          <w:p w:rsidR="004C7EA7" w:rsidRDefault="004C7EA7" w:rsidP="00C50739">
            <w:pPr>
              <w:pStyle w:val="ATTANNLV1-ASDEFCON"/>
              <w:keepNext w:val="0"/>
              <w:keepLines w:val="0"/>
              <w:spacing w:before="120"/>
            </w:pPr>
          </w:p>
        </w:tc>
        <w:tc>
          <w:tcPr>
            <w:tcW w:w="6237" w:type="dxa"/>
          </w:tcPr>
          <w:p w:rsidR="004C7EA7" w:rsidRDefault="004C7EA7" w:rsidP="00C50739">
            <w:pPr>
              <w:pStyle w:val="Table10ptText-ASDEFCON"/>
            </w:pPr>
            <w:r>
              <w:t>All major problem and risk areas have been identified and resolved and, for minor problems and risks, corrective action plans have been recorded and agreed by the Commonwealth Representative.</w:t>
            </w:r>
          </w:p>
        </w:tc>
        <w:tc>
          <w:tcPr>
            <w:tcW w:w="1276" w:type="dxa"/>
          </w:tcPr>
          <w:p w:rsidR="004C7EA7" w:rsidRDefault="004C7EA7" w:rsidP="00C50739">
            <w:pPr>
              <w:pStyle w:val="Table10ptText-ASDEFCON"/>
            </w:pPr>
            <w:r>
              <w:t>Mandatory</w:t>
            </w:r>
          </w:p>
        </w:tc>
      </w:tr>
      <w:tr w:rsidR="004C7EA7" w:rsidTr="00DD04D0">
        <w:trPr>
          <w:cantSplit/>
        </w:trPr>
        <w:tc>
          <w:tcPr>
            <w:tcW w:w="709" w:type="dxa"/>
          </w:tcPr>
          <w:p w:rsidR="004C7EA7" w:rsidRDefault="004C7EA7" w:rsidP="00C50739">
            <w:pPr>
              <w:pStyle w:val="ATTANNLV1-ASDEFCON"/>
              <w:keepNext w:val="0"/>
              <w:keepLines w:val="0"/>
              <w:spacing w:before="120"/>
            </w:pPr>
          </w:p>
        </w:tc>
        <w:tc>
          <w:tcPr>
            <w:tcW w:w="6237" w:type="dxa"/>
          </w:tcPr>
          <w:p w:rsidR="004C7EA7" w:rsidRDefault="004C7EA7" w:rsidP="00C50739">
            <w:pPr>
              <w:pStyle w:val="Table10ptText-ASDEFCON"/>
            </w:pPr>
            <w:r>
              <w:t xml:space="preserve">If applicable, plans and/or support contracts for </w:t>
            </w:r>
            <w:r w:rsidR="002E4C1E">
              <w:t>Facility</w:t>
            </w:r>
            <w:r>
              <w:t xml:space="preserve"> upkeep and maintenance are deemed to be realistic and achievable.</w:t>
            </w:r>
          </w:p>
        </w:tc>
        <w:tc>
          <w:tcPr>
            <w:tcW w:w="1276" w:type="dxa"/>
          </w:tcPr>
          <w:p w:rsidR="004C7EA7" w:rsidRDefault="004C7EA7" w:rsidP="00C50739">
            <w:pPr>
              <w:pStyle w:val="Table10ptText-ASDEFCON"/>
            </w:pPr>
            <w:r>
              <w:t>Highly Desirable</w:t>
            </w:r>
          </w:p>
        </w:tc>
      </w:tr>
      <w:tr w:rsidR="004C7EA7" w:rsidTr="00DD04D0">
        <w:trPr>
          <w:cantSplit/>
        </w:trPr>
        <w:tc>
          <w:tcPr>
            <w:tcW w:w="709" w:type="dxa"/>
          </w:tcPr>
          <w:p w:rsidR="004C7EA7" w:rsidRDefault="004C7EA7" w:rsidP="00C50739">
            <w:pPr>
              <w:pStyle w:val="ATTANNLV1-ASDEFCON"/>
              <w:keepNext w:val="0"/>
              <w:keepLines w:val="0"/>
              <w:spacing w:before="120"/>
            </w:pPr>
          </w:p>
        </w:tc>
        <w:tc>
          <w:tcPr>
            <w:tcW w:w="6237" w:type="dxa"/>
          </w:tcPr>
          <w:p w:rsidR="004C7EA7" w:rsidRDefault="004C7EA7" w:rsidP="00C50739">
            <w:pPr>
              <w:pStyle w:val="Table10ptText-ASDEFCON"/>
            </w:pPr>
            <w:r>
              <w:t>All risks identified during the course of FACRR have been documented and analysed.</w:t>
            </w:r>
          </w:p>
        </w:tc>
        <w:tc>
          <w:tcPr>
            <w:tcW w:w="1276" w:type="dxa"/>
          </w:tcPr>
          <w:p w:rsidR="004C7EA7" w:rsidRDefault="004C7EA7" w:rsidP="00C50739">
            <w:pPr>
              <w:pStyle w:val="Table10ptText-ASDEFCON"/>
            </w:pPr>
            <w:r>
              <w:t>Mandatory</w:t>
            </w:r>
          </w:p>
        </w:tc>
      </w:tr>
      <w:tr w:rsidR="004C7EA7" w:rsidTr="00DD04D0">
        <w:trPr>
          <w:cantSplit/>
        </w:trPr>
        <w:tc>
          <w:tcPr>
            <w:tcW w:w="709" w:type="dxa"/>
          </w:tcPr>
          <w:p w:rsidR="004C7EA7" w:rsidRDefault="004C7EA7" w:rsidP="00C50739">
            <w:pPr>
              <w:pStyle w:val="ATTANNLV1-ASDEFCON"/>
              <w:keepNext w:val="0"/>
              <w:keepLines w:val="0"/>
              <w:spacing w:before="120"/>
            </w:pPr>
          </w:p>
        </w:tc>
        <w:tc>
          <w:tcPr>
            <w:tcW w:w="6237" w:type="dxa"/>
          </w:tcPr>
          <w:p w:rsidR="004C7EA7" w:rsidRDefault="004C7EA7" w:rsidP="00C50739">
            <w:pPr>
              <w:pStyle w:val="Table10ptText-ASDEFCON"/>
            </w:pPr>
            <w:r>
              <w:t xml:space="preserve">The risks associated with occupying the </w:t>
            </w:r>
            <w:r w:rsidR="002E4C1E">
              <w:t>Facilities</w:t>
            </w:r>
            <w:r>
              <w:t xml:space="preserve">, and then commencing use and/or additional </w:t>
            </w:r>
            <w:r w:rsidR="00C50739">
              <w:t>Acceptance V</w:t>
            </w:r>
            <w:r>
              <w:t>alidation activities, are acceptable to the Commonwealth Representative.</w:t>
            </w:r>
          </w:p>
        </w:tc>
        <w:tc>
          <w:tcPr>
            <w:tcW w:w="1276" w:type="dxa"/>
          </w:tcPr>
          <w:p w:rsidR="004C7EA7" w:rsidRDefault="004C7EA7" w:rsidP="00C50739">
            <w:pPr>
              <w:pStyle w:val="Table10ptText-ASDEFCON"/>
            </w:pPr>
            <w:r>
              <w:t>Mandatory</w:t>
            </w:r>
          </w:p>
        </w:tc>
      </w:tr>
      <w:tr w:rsidR="004C7EA7" w:rsidTr="00DD04D0">
        <w:trPr>
          <w:cantSplit/>
        </w:trPr>
        <w:tc>
          <w:tcPr>
            <w:tcW w:w="709" w:type="dxa"/>
          </w:tcPr>
          <w:p w:rsidR="004C7EA7" w:rsidRDefault="004C7EA7" w:rsidP="00C50739">
            <w:pPr>
              <w:pStyle w:val="ATTANNLV1-ASDEFCON"/>
              <w:keepNext w:val="0"/>
              <w:keepLines w:val="0"/>
              <w:spacing w:before="120"/>
            </w:pPr>
          </w:p>
        </w:tc>
        <w:tc>
          <w:tcPr>
            <w:tcW w:w="6237" w:type="dxa"/>
          </w:tcPr>
          <w:p w:rsidR="004C7EA7" w:rsidRDefault="004C7EA7" w:rsidP="00C50739">
            <w:pPr>
              <w:pStyle w:val="Table10ptText-ASDEFCON"/>
            </w:pPr>
            <w:r>
              <w:t>All major action items have been closed.</w:t>
            </w:r>
          </w:p>
        </w:tc>
        <w:tc>
          <w:tcPr>
            <w:tcW w:w="1276" w:type="dxa"/>
          </w:tcPr>
          <w:p w:rsidR="004C7EA7" w:rsidRDefault="004C7EA7" w:rsidP="00C50739">
            <w:pPr>
              <w:pStyle w:val="Table10ptText-ASDEFCON"/>
            </w:pPr>
            <w:r>
              <w:t>Mandatory</w:t>
            </w:r>
          </w:p>
        </w:tc>
      </w:tr>
      <w:tr w:rsidR="004C7EA7" w:rsidTr="00DD04D0">
        <w:trPr>
          <w:cantSplit/>
        </w:trPr>
        <w:tc>
          <w:tcPr>
            <w:tcW w:w="709" w:type="dxa"/>
          </w:tcPr>
          <w:p w:rsidR="004C7EA7" w:rsidRDefault="004C7EA7" w:rsidP="00C50739">
            <w:pPr>
              <w:pStyle w:val="ATTANNLV1-ASDEFCON"/>
              <w:keepNext w:val="0"/>
              <w:keepLines w:val="0"/>
              <w:spacing w:before="120"/>
            </w:pPr>
          </w:p>
        </w:tc>
        <w:tc>
          <w:tcPr>
            <w:tcW w:w="6237" w:type="dxa"/>
          </w:tcPr>
          <w:p w:rsidR="004C7EA7" w:rsidRDefault="004C7EA7" w:rsidP="00C50739">
            <w:pPr>
              <w:pStyle w:val="Table10ptText-ASDEFCON"/>
            </w:pPr>
            <w:r>
              <w:t>All minor action items have been documented and assigned with agreed closure dates.</w:t>
            </w:r>
          </w:p>
        </w:tc>
        <w:tc>
          <w:tcPr>
            <w:tcW w:w="1276" w:type="dxa"/>
          </w:tcPr>
          <w:p w:rsidR="004C7EA7" w:rsidRDefault="004C7EA7" w:rsidP="00C50739">
            <w:pPr>
              <w:pStyle w:val="Table10ptText-ASDEFCON"/>
            </w:pPr>
            <w:r>
              <w:t>Mandatory</w:t>
            </w:r>
          </w:p>
        </w:tc>
      </w:tr>
      <w:tr w:rsidR="004C7EA7" w:rsidTr="00DD04D0">
        <w:trPr>
          <w:cantSplit/>
        </w:trPr>
        <w:tc>
          <w:tcPr>
            <w:tcW w:w="709" w:type="dxa"/>
          </w:tcPr>
          <w:p w:rsidR="004C7EA7" w:rsidRDefault="004C7EA7" w:rsidP="00C50739">
            <w:pPr>
              <w:pStyle w:val="ATTANNLV1-ASDEFCON"/>
              <w:keepNext w:val="0"/>
              <w:keepLines w:val="0"/>
              <w:spacing w:before="120"/>
            </w:pPr>
          </w:p>
        </w:tc>
        <w:tc>
          <w:tcPr>
            <w:tcW w:w="6237" w:type="dxa"/>
          </w:tcPr>
          <w:p w:rsidR="004C7EA7" w:rsidRDefault="004C7EA7" w:rsidP="00C50739">
            <w:pPr>
              <w:pStyle w:val="Table10ptText-ASDEFCON"/>
            </w:pPr>
            <w:r>
              <w:t xml:space="preserve">Review </w:t>
            </w:r>
            <w:r w:rsidR="00B81A9D">
              <w:t>M</w:t>
            </w:r>
            <w:r>
              <w:t>inutes have been prepared, Approved, and distributed in accordance with the Contract.</w:t>
            </w:r>
          </w:p>
        </w:tc>
        <w:tc>
          <w:tcPr>
            <w:tcW w:w="1276" w:type="dxa"/>
          </w:tcPr>
          <w:p w:rsidR="004C7EA7" w:rsidRDefault="004C7EA7" w:rsidP="00C50739">
            <w:pPr>
              <w:pStyle w:val="Table10ptText-ASDEFCON"/>
            </w:pPr>
            <w:r>
              <w:t>Mandatory</w:t>
            </w:r>
          </w:p>
        </w:tc>
      </w:tr>
    </w:tbl>
    <w:p w:rsidR="004C7EA7" w:rsidRDefault="004C7EA7" w:rsidP="00181958">
      <w:pPr>
        <w:pStyle w:val="ASDEFCONNormal"/>
      </w:pPr>
    </w:p>
    <w:sectPr w:rsidR="004C7EA7" w:rsidSect="008C3F4D">
      <w:headerReference w:type="default" r:id="rId7"/>
      <w:footerReference w:type="default" r:id="rId8"/>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D2E" w:rsidRDefault="00E14D2E">
      <w:r>
        <w:separator/>
      </w:r>
    </w:p>
  </w:endnote>
  <w:endnote w:type="continuationSeparator" w:id="0">
    <w:p w:rsidR="00E14D2E" w:rsidRDefault="00E14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A55226" w:rsidTr="008C3F4D">
      <w:tc>
        <w:tcPr>
          <w:tcW w:w="2500" w:type="pct"/>
        </w:tcPr>
        <w:p w:rsidR="00A55226" w:rsidRDefault="00A55226" w:rsidP="008C3F4D">
          <w:pPr>
            <w:pStyle w:val="ASDEFCONHeaderFooterLeft"/>
          </w:pPr>
        </w:p>
      </w:tc>
      <w:tc>
        <w:tcPr>
          <w:tcW w:w="2500" w:type="pct"/>
        </w:tcPr>
        <w:p w:rsidR="00A55226" w:rsidRPr="008C3F4D" w:rsidRDefault="00A55226" w:rsidP="008C3F4D">
          <w:pPr>
            <w:pStyle w:val="ASDEFCONHeaderFooterRight"/>
            <w:rPr>
              <w:szCs w:val="16"/>
            </w:rPr>
          </w:pPr>
          <w:r w:rsidRPr="008C3F4D">
            <w:rPr>
              <w:rStyle w:val="PageNumber"/>
              <w:color w:val="auto"/>
              <w:szCs w:val="16"/>
            </w:rPr>
            <w:fldChar w:fldCharType="begin"/>
          </w:r>
          <w:r w:rsidRPr="008C3F4D">
            <w:rPr>
              <w:rStyle w:val="PageNumber"/>
              <w:color w:val="auto"/>
              <w:szCs w:val="16"/>
            </w:rPr>
            <w:instrText xml:space="preserve"> PAGE </w:instrText>
          </w:r>
          <w:r w:rsidRPr="008C3F4D">
            <w:rPr>
              <w:rStyle w:val="PageNumber"/>
              <w:color w:val="auto"/>
              <w:szCs w:val="16"/>
            </w:rPr>
            <w:fldChar w:fldCharType="separate"/>
          </w:r>
          <w:r w:rsidR="00B30C3E">
            <w:rPr>
              <w:rStyle w:val="PageNumber"/>
              <w:noProof/>
              <w:color w:val="auto"/>
              <w:szCs w:val="16"/>
            </w:rPr>
            <w:t>1</w:t>
          </w:r>
          <w:r w:rsidRPr="008C3F4D">
            <w:rPr>
              <w:rStyle w:val="PageNumber"/>
              <w:color w:val="auto"/>
              <w:szCs w:val="16"/>
            </w:rPr>
            <w:fldChar w:fldCharType="end"/>
          </w:r>
        </w:p>
      </w:tc>
    </w:tr>
    <w:tr w:rsidR="00A55226" w:rsidTr="008C3F4D">
      <w:tc>
        <w:tcPr>
          <w:tcW w:w="5000" w:type="pct"/>
          <w:gridSpan w:val="2"/>
        </w:tcPr>
        <w:p w:rsidR="00A55226" w:rsidRDefault="00E14D2E" w:rsidP="00C62DC0">
          <w:pPr>
            <w:pStyle w:val="ASDEFCONHeaderFooterClassification"/>
          </w:pPr>
          <w:r>
            <w:fldChar w:fldCharType="begin"/>
          </w:r>
          <w:r>
            <w:instrText xml:space="preserve"> DOCPROPERTY  Classification  \* MERGEFORMAT </w:instrText>
          </w:r>
          <w:r>
            <w:fldChar w:fldCharType="separate"/>
          </w:r>
          <w:r w:rsidR="0060004E">
            <w:t>OFFICIAL</w:t>
          </w:r>
          <w:r>
            <w:fldChar w:fldCharType="end"/>
          </w:r>
        </w:p>
      </w:tc>
    </w:tr>
  </w:tbl>
  <w:p w:rsidR="00A55226" w:rsidRPr="008C3F4D" w:rsidRDefault="00A55226" w:rsidP="008C3F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D2E" w:rsidRDefault="00E14D2E">
      <w:r>
        <w:separator/>
      </w:r>
    </w:p>
  </w:footnote>
  <w:footnote w:type="continuationSeparator" w:id="0">
    <w:p w:rsidR="00E14D2E" w:rsidRDefault="00E14D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A55226" w:rsidTr="008C3F4D">
      <w:tc>
        <w:tcPr>
          <w:tcW w:w="5000" w:type="pct"/>
          <w:gridSpan w:val="2"/>
        </w:tcPr>
        <w:p w:rsidR="00A55226" w:rsidRDefault="00E14D2E" w:rsidP="00211DEF">
          <w:pPr>
            <w:pStyle w:val="ASDEFCONHeaderFooterClassification"/>
          </w:pPr>
          <w:r>
            <w:fldChar w:fldCharType="begin"/>
          </w:r>
          <w:r>
            <w:instrText xml:space="preserve"> DOCPROPERTY  Classification  \* MERGEFORMAT </w:instrText>
          </w:r>
          <w:r>
            <w:fldChar w:fldCharType="separate"/>
          </w:r>
          <w:r w:rsidR="0060004E">
            <w:t>OFFICIAL</w:t>
          </w:r>
          <w:r>
            <w:fldChar w:fldCharType="end"/>
          </w:r>
        </w:p>
      </w:tc>
    </w:tr>
    <w:tr w:rsidR="00A55226" w:rsidTr="008C3F4D">
      <w:tc>
        <w:tcPr>
          <w:tcW w:w="2500" w:type="pct"/>
        </w:tcPr>
        <w:p w:rsidR="00A55226" w:rsidRDefault="00E14D2E" w:rsidP="008C3F4D">
          <w:pPr>
            <w:pStyle w:val="ASDEFCONHeaderFooterLeft"/>
          </w:pPr>
          <w:r>
            <w:fldChar w:fldCharType="begin"/>
          </w:r>
          <w:r>
            <w:instrText xml:space="preserve"> DOCPROPERTY Header_Left </w:instrText>
          </w:r>
          <w:r>
            <w:fldChar w:fldCharType="separate"/>
          </w:r>
          <w:r w:rsidR="0060004E">
            <w:t>ASDEFCON (Strategic Materiel)</w:t>
          </w:r>
          <w:r>
            <w:fldChar w:fldCharType="end"/>
          </w:r>
        </w:p>
      </w:tc>
      <w:tc>
        <w:tcPr>
          <w:tcW w:w="2500" w:type="pct"/>
        </w:tcPr>
        <w:p w:rsidR="00A55226" w:rsidRDefault="00E14D2E" w:rsidP="006D2A31">
          <w:pPr>
            <w:pStyle w:val="ASDEFCONHeaderFooterRight"/>
          </w:pPr>
          <w:r>
            <w:fldChar w:fldCharType="begin"/>
          </w:r>
          <w:r>
            <w:instrText xml:space="preserve"> DOCPROPERTY  Title  \* MERGEFORMAT </w:instrText>
          </w:r>
          <w:r>
            <w:fldChar w:fldCharType="separate"/>
          </w:r>
          <w:r w:rsidR="0060004E">
            <w:t>MSR-CHECKLIST-FACRR</w:t>
          </w:r>
          <w:r>
            <w:fldChar w:fldCharType="end"/>
          </w:r>
          <w:r w:rsidR="00DE3BAC">
            <w:t>-</w:t>
          </w:r>
          <w:r>
            <w:fldChar w:fldCharType="begin"/>
          </w:r>
          <w:r>
            <w:instrText xml:space="preserve"> DOCPROPERTY  Version  \* MERGEFORMAT </w:instrText>
          </w:r>
          <w:r>
            <w:fldChar w:fldCharType="separate"/>
          </w:r>
          <w:r w:rsidR="00606405">
            <w:t>V5.3</w:t>
          </w:r>
          <w:r>
            <w:fldChar w:fldCharType="end"/>
          </w:r>
        </w:p>
      </w:tc>
    </w:tr>
  </w:tbl>
  <w:p w:rsidR="00A55226" w:rsidRPr="008C3F4D" w:rsidRDefault="00A55226" w:rsidP="008C3F4D">
    <w:pPr>
      <w:pStyle w:val="Header"/>
      <w:numPr>
        <w:ilvl w:val="0"/>
        <w:numId w:val="0"/>
      </w:numPr>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12F4640"/>
    <w:multiLevelType w:val="multilevel"/>
    <w:tmpl w:val="A2D42216"/>
    <w:lvl w:ilvl="0">
      <w:start w:val="1"/>
      <w:numFmt w:val="lowerLetter"/>
      <w:pStyle w:val="Header"/>
      <w:lvlText w:val="%1."/>
      <w:lvlJc w:val="left"/>
      <w:pPr>
        <w:tabs>
          <w:tab w:val="num" w:pos="1701"/>
        </w:tabs>
        <w:ind w:left="1701" w:hanging="850"/>
      </w:pPr>
      <w:rPr>
        <w:rFonts w:ascii="Arial" w:hAnsi="Arial" w:hint="default"/>
        <w:b w:val="0"/>
        <w:i w:val="0"/>
        <w:sz w:val="20"/>
      </w:rPr>
    </w:lvl>
    <w:lvl w:ilvl="1" w:tentative="1">
      <w:start w:val="1"/>
      <w:numFmt w:val="lowerLetter"/>
      <w:lvlText w:val="%2."/>
      <w:lvlJc w:val="left"/>
      <w:pPr>
        <w:tabs>
          <w:tab w:val="num" w:pos="2291"/>
        </w:tabs>
        <w:ind w:left="2291" w:hanging="360"/>
      </w:pPr>
    </w:lvl>
    <w:lvl w:ilvl="2" w:tentative="1">
      <w:start w:val="1"/>
      <w:numFmt w:val="lowerRoman"/>
      <w:lvlText w:val="%3."/>
      <w:lvlJc w:val="right"/>
      <w:pPr>
        <w:tabs>
          <w:tab w:val="num" w:pos="3011"/>
        </w:tabs>
        <w:ind w:left="3011" w:hanging="180"/>
      </w:pPr>
    </w:lvl>
    <w:lvl w:ilvl="3" w:tentative="1">
      <w:start w:val="1"/>
      <w:numFmt w:val="decimal"/>
      <w:lvlText w:val="%4."/>
      <w:lvlJc w:val="left"/>
      <w:pPr>
        <w:tabs>
          <w:tab w:val="num" w:pos="3731"/>
        </w:tabs>
        <w:ind w:left="3731" w:hanging="360"/>
      </w:pPr>
    </w:lvl>
    <w:lvl w:ilvl="4" w:tentative="1">
      <w:start w:val="1"/>
      <w:numFmt w:val="lowerLetter"/>
      <w:lvlText w:val="%5."/>
      <w:lvlJc w:val="left"/>
      <w:pPr>
        <w:tabs>
          <w:tab w:val="num" w:pos="4451"/>
        </w:tabs>
        <w:ind w:left="4451" w:hanging="360"/>
      </w:pPr>
    </w:lvl>
    <w:lvl w:ilvl="5" w:tentative="1">
      <w:start w:val="1"/>
      <w:numFmt w:val="lowerRoman"/>
      <w:lvlText w:val="%6."/>
      <w:lvlJc w:val="right"/>
      <w:pPr>
        <w:tabs>
          <w:tab w:val="num" w:pos="5171"/>
        </w:tabs>
        <w:ind w:left="5171" w:hanging="180"/>
      </w:pPr>
    </w:lvl>
    <w:lvl w:ilvl="6" w:tentative="1">
      <w:start w:val="1"/>
      <w:numFmt w:val="decimal"/>
      <w:lvlText w:val="%7."/>
      <w:lvlJc w:val="left"/>
      <w:pPr>
        <w:tabs>
          <w:tab w:val="num" w:pos="5891"/>
        </w:tabs>
        <w:ind w:left="5891" w:hanging="360"/>
      </w:pPr>
    </w:lvl>
    <w:lvl w:ilvl="7" w:tentative="1">
      <w:start w:val="1"/>
      <w:numFmt w:val="lowerLetter"/>
      <w:lvlText w:val="%8."/>
      <w:lvlJc w:val="left"/>
      <w:pPr>
        <w:tabs>
          <w:tab w:val="num" w:pos="6611"/>
        </w:tabs>
        <w:ind w:left="6611" w:hanging="360"/>
      </w:pPr>
    </w:lvl>
    <w:lvl w:ilvl="8" w:tentative="1">
      <w:start w:val="1"/>
      <w:numFmt w:val="lowerRoman"/>
      <w:lvlText w:val="%9."/>
      <w:lvlJc w:val="right"/>
      <w:pPr>
        <w:tabs>
          <w:tab w:val="num" w:pos="7331"/>
        </w:tabs>
        <w:ind w:left="7331" w:hanging="180"/>
      </w:p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4"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8"/>
  </w:num>
  <w:num w:numId="3">
    <w:abstractNumId w:val="7"/>
  </w:num>
  <w:num w:numId="4">
    <w:abstractNumId w:val="23"/>
  </w:num>
  <w:num w:numId="5">
    <w:abstractNumId w:val="29"/>
  </w:num>
  <w:num w:numId="6">
    <w:abstractNumId w:val="11"/>
  </w:num>
  <w:num w:numId="7">
    <w:abstractNumId w:val="12"/>
  </w:num>
  <w:num w:numId="8">
    <w:abstractNumId w:val="31"/>
  </w:num>
  <w:num w:numId="9">
    <w:abstractNumId w:val="19"/>
  </w:num>
  <w:num w:numId="10">
    <w:abstractNumId w:val="35"/>
  </w:num>
  <w:num w:numId="11">
    <w:abstractNumId w:val="13"/>
  </w:num>
  <w:num w:numId="12">
    <w:abstractNumId w:val="16"/>
  </w:num>
  <w:num w:numId="13">
    <w:abstractNumId w:val="37"/>
  </w:num>
  <w:num w:numId="14">
    <w:abstractNumId w:val="10"/>
  </w:num>
  <w:num w:numId="15">
    <w:abstractNumId w:val="8"/>
  </w:num>
  <w:num w:numId="16">
    <w:abstractNumId w:val="2"/>
  </w:num>
  <w:num w:numId="17">
    <w:abstractNumId w:val="4"/>
  </w:num>
  <w:num w:numId="18">
    <w:abstractNumId w:val="15"/>
  </w:num>
  <w:num w:numId="19">
    <w:abstractNumId w:val="1"/>
  </w:num>
  <w:num w:numId="20">
    <w:abstractNumId w:val="21"/>
  </w:num>
  <w:num w:numId="21">
    <w:abstractNumId w:val="33"/>
  </w:num>
  <w:num w:numId="22">
    <w:abstractNumId w:val="30"/>
  </w:num>
  <w:num w:numId="23">
    <w:abstractNumId w:val="17"/>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34"/>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32"/>
  </w:num>
  <w:num w:numId="33">
    <w:abstractNumId w:val="6"/>
  </w:num>
  <w:num w:numId="34">
    <w:abstractNumId w:val="36"/>
  </w:num>
  <w:num w:numId="35">
    <w:abstractNumId w:val="14"/>
  </w:num>
  <w:num w:numId="36">
    <w:abstractNumId w:val="22"/>
  </w:num>
  <w:num w:numId="37">
    <w:abstractNumId w:val="9"/>
  </w:num>
  <w:num w:numId="38">
    <w:abstractNumId w:val="3"/>
  </w:num>
  <w:num w:numId="39">
    <w:abstractNumId w:val="26"/>
  </w:num>
  <w:num w:numId="40">
    <w:abstractNumId w:val="27"/>
  </w:num>
  <w:num w:numId="4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28"/>
  </w:num>
  <w:num w:numId="46">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7">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BD0"/>
    <w:rsid w:val="00034BD0"/>
    <w:rsid w:val="00042417"/>
    <w:rsid w:val="00055328"/>
    <w:rsid w:val="000643CE"/>
    <w:rsid w:val="00072C22"/>
    <w:rsid w:val="000939B0"/>
    <w:rsid w:val="000C1348"/>
    <w:rsid w:val="000D20A7"/>
    <w:rsid w:val="000E36EA"/>
    <w:rsid w:val="00105A2C"/>
    <w:rsid w:val="00110CF1"/>
    <w:rsid w:val="00181958"/>
    <w:rsid w:val="00184A2C"/>
    <w:rsid w:val="001861D1"/>
    <w:rsid w:val="00192370"/>
    <w:rsid w:val="001B56BD"/>
    <w:rsid w:val="001B5E71"/>
    <w:rsid w:val="001F2505"/>
    <w:rsid w:val="00211DEF"/>
    <w:rsid w:val="00213EBD"/>
    <w:rsid w:val="00262C5C"/>
    <w:rsid w:val="002E4C1E"/>
    <w:rsid w:val="00350E1A"/>
    <w:rsid w:val="00374B53"/>
    <w:rsid w:val="0038036A"/>
    <w:rsid w:val="00393EA2"/>
    <w:rsid w:val="003A16BB"/>
    <w:rsid w:val="003A3738"/>
    <w:rsid w:val="003F5C87"/>
    <w:rsid w:val="003F7B09"/>
    <w:rsid w:val="00421DAF"/>
    <w:rsid w:val="0044219D"/>
    <w:rsid w:val="00467654"/>
    <w:rsid w:val="00470E2B"/>
    <w:rsid w:val="00480D4D"/>
    <w:rsid w:val="004932E5"/>
    <w:rsid w:val="004C7EA7"/>
    <w:rsid w:val="004D0EA4"/>
    <w:rsid w:val="005350D7"/>
    <w:rsid w:val="0054114A"/>
    <w:rsid w:val="00581332"/>
    <w:rsid w:val="005A01A9"/>
    <w:rsid w:val="005D525A"/>
    <w:rsid w:val="005D66B7"/>
    <w:rsid w:val="005E4169"/>
    <w:rsid w:val="005F11C9"/>
    <w:rsid w:val="005F71E9"/>
    <w:rsid w:val="0060004E"/>
    <w:rsid w:val="00600704"/>
    <w:rsid w:val="00606405"/>
    <w:rsid w:val="006072AE"/>
    <w:rsid w:val="00634A2D"/>
    <w:rsid w:val="006534B9"/>
    <w:rsid w:val="00666B0C"/>
    <w:rsid w:val="006872E8"/>
    <w:rsid w:val="006969AE"/>
    <w:rsid w:val="006A0A1B"/>
    <w:rsid w:val="006B65F4"/>
    <w:rsid w:val="006D2A31"/>
    <w:rsid w:val="0070091F"/>
    <w:rsid w:val="007011FB"/>
    <w:rsid w:val="007139C9"/>
    <w:rsid w:val="007310A6"/>
    <w:rsid w:val="00736070"/>
    <w:rsid w:val="0076339F"/>
    <w:rsid w:val="007644C9"/>
    <w:rsid w:val="00764D1E"/>
    <w:rsid w:val="007E25AD"/>
    <w:rsid w:val="00801CB5"/>
    <w:rsid w:val="00845CCF"/>
    <w:rsid w:val="00877C0F"/>
    <w:rsid w:val="00880B49"/>
    <w:rsid w:val="008A511E"/>
    <w:rsid w:val="008B0CE4"/>
    <w:rsid w:val="008C3F4D"/>
    <w:rsid w:val="008E5229"/>
    <w:rsid w:val="00962BD7"/>
    <w:rsid w:val="009B26D3"/>
    <w:rsid w:val="009D1BD6"/>
    <w:rsid w:val="009D6EBB"/>
    <w:rsid w:val="009F1C83"/>
    <w:rsid w:val="00A05AE8"/>
    <w:rsid w:val="00A449CB"/>
    <w:rsid w:val="00A55226"/>
    <w:rsid w:val="00A66AF7"/>
    <w:rsid w:val="00AC6DE5"/>
    <w:rsid w:val="00AD5477"/>
    <w:rsid w:val="00B0549C"/>
    <w:rsid w:val="00B20218"/>
    <w:rsid w:val="00B30C3E"/>
    <w:rsid w:val="00B430FA"/>
    <w:rsid w:val="00B81A9D"/>
    <w:rsid w:val="00B8296A"/>
    <w:rsid w:val="00B93B0E"/>
    <w:rsid w:val="00BA7FFC"/>
    <w:rsid w:val="00C2030C"/>
    <w:rsid w:val="00C50739"/>
    <w:rsid w:val="00C60DF3"/>
    <w:rsid w:val="00C629DA"/>
    <w:rsid w:val="00C62DC0"/>
    <w:rsid w:val="00CA6E23"/>
    <w:rsid w:val="00CD53F0"/>
    <w:rsid w:val="00CE58F2"/>
    <w:rsid w:val="00CE6105"/>
    <w:rsid w:val="00CF0B5C"/>
    <w:rsid w:val="00D011B9"/>
    <w:rsid w:val="00D04E8A"/>
    <w:rsid w:val="00D5001D"/>
    <w:rsid w:val="00D707EE"/>
    <w:rsid w:val="00DD04D0"/>
    <w:rsid w:val="00DE3BAC"/>
    <w:rsid w:val="00E14D2E"/>
    <w:rsid w:val="00E16C2B"/>
    <w:rsid w:val="00E36BC3"/>
    <w:rsid w:val="00ED4B84"/>
    <w:rsid w:val="00EE17BF"/>
    <w:rsid w:val="00EF1701"/>
    <w:rsid w:val="00F374E4"/>
    <w:rsid w:val="00F54FD2"/>
    <w:rsid w:val="00FC7B45"/>
    <w:rsid w:val="00FD6E38"/>
    <w:rsid w:val="00FE153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7A0A7F6-089B-48E7-AAC8-57A7F4C58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C3E"/>
    <w:pPr>
      <w:spacing w:after="120"/>
      <w:jc w:val="both"/>
    </w:pPr>
    <w:rPr>
      <w:rFonts w:ascii="Arial" w:hAnsi="Arial"/>
      <w:szCs w:val="24"/>
    </w:rPr>
  </w:style>
  <w:style w:type="paragraph" w:styleId="Heading1">
    <w:name w:val="heading 1"/>
    <w:basedOn w:val="Normal"/>
    <w:next w:val="Normal"/>
    <w:link w:val="Heading1Char"/>
    <w:qFormat/>
    <w:rsid w:val="00B30C3E"/>
    <w:pPr>
      <w:keepNext/>
      <w:spacing w:before="120"/>
      <w:outlineLvl w:val="0"/>
    </w:pPr>
    <w:rPr>
      <w:rFonts w:ascii="Georgia" w:hAnsi="Georgia" w:cs="Arial"/>
      <w:b/>
      <w:bCs/>
      <w:color w:val="CF4520"/>
      <w:kern w:val="32"/>
      <w:sz w:val="32"/>
      <w:szCs w:val="32"/>
    </w:rPr>
  </w:style>
  <w:style w:type="paragraph" w:styleId="Heading2">
    <w:name w:val="heading 2"/>
    <w:basedOn w:val="Normal"/>
    <w:next w:val="Normal"/>
    <w:link w:val="Heading2Char"/>
    <w:unhideWhenUsed/>
    <w:qFormat/>
    <w:rsid w:val="00B30C3E"/>
    <w:pPr>
      <w:keepNext/>
      <w:keepLines/>
      <w:spacing w:before="200"/>
      <w:outlineLvl w:val="1"/>
    </w:pPr>
    <w:rPr>
      <w:rFonts w:ascii="Georgia" w:hAnsi="Georgia"/>
      <w:b/>
      <w:bCs/>
      <w:color w:val="CF4520"/>
      <w:sz w:val="28"/>
      <w:szCs w:val="26"/>
    </w:rPr>
  </w:style>
  <w:style w:type="paragraph" w:styleId="Heading3">
    <w:name w:val="heading 3"/>
    <w:basedOn w:val="Normal"/>
    <w:next w:val="Normal"/>
    <w:link w:val="Heading3Char"/>
    <w:uiPriority w:val="9"/>
    <w:qFormat/>
    <w:rsid w:val="00B30C3E"/>
    <w:pPr>
      <w:keepNext/>
      <w:keepLines/>
      <w:spacing w:before="120" w:after="60"/>
      <w:outlineLvl w:val="2"/>
    </w:pPr>
    <w:rPr>
      <w:b/>
      <w:bCs/>
      <w:i/>
      <w:color w:val="CF4520"/>
      <w:sz w:val="24"/>
    </w:rPr>
  </w:style>
  <w:style w:type="paragraph" w:styleId="Heading4">
    <w:name w:val="heading 4"/>
    <w:basedOn w:val="Normal"/>
    <w:next w:val="Normal"/>
    <w:link w:val="Heading4Char"/>
    <w:uiPriority w:val="9"/>
    <w:qFormat/>
    <w:rsid w:val="00B30C3E"/>
    <w:pPr>
      <w:keepNext/>
      <w:keepLines/>
      <w:spacing w:before="200" w:after="60"/>
      <w:outlineLvl w:val="3"/>
    </w:pPr>
    <w:rPr>
      <w:b/>
      <w:bCs/>
      <w:i/>
      <w:iCs/>
    </w:rPr>
  </w:style>
  <w:style w:type="paragraph" w:styleId="Heading5">
    <w:name w:val="heading 5"/>
    <w:basedOn w:val="Normal"/>
    <w:next w:val="Normal"/>
    <w:qFormat/>
    <w:rsid w:val="000C1348"/>
    <w:pPr>
      <w:numPr>
        <w:ilvl w:val="4"/>
        <w:numId w:val="4"/>
      </w:numPr>
      <w:spacing w:before="240" w:after="60"/>
      <w:outlineLvl w:val="4"/>
    </w:pPr>
    <w:rPr>
      <w:b/>
      <w:bCs/>
      <w:iCs/>
      <w:szCs w:val="26"/>
    </w:rPr>
  </w:style>
  <w:style w:type="paragraph" w:styleId="Heading6">
    <w:name w:val="heading 6"/>
    <w:basedOn w:val="Normal"/>
    <w:next w:val="Normal"/>
    <w:qFormat/>
    <w:rsid w:val="000C1348"/>
    <w:pPr>
      <w:numPr>
        <w:ilvl w:val="5"/>
        <w:numId w:val="4"/>
      </w:numPr>
      <w:spacing w:before="240" w:after="60"/>
      <w:outlineLvl w:val="5"/>
    </w:pPr>
    <w:rPr>
      <w:rFonts w:ascii="Times New Roman" w:hAnsi="Times New Roman"/>
      <w:b/>
      <w:bCs/>
      <w:sz w:val="22"/>
    </w:rPr>
  </w:style>
  <w:style w:type="paragraph" w:styleId="Heading7">
    <w:name w:val="heading 7"/>
    <w:basedOn w:val="Normal"/>
    <w:next w:val="Normal"/>
    <w:qFormat/>
    <w:rsid w:val="000C1348"/>
    <w:pPr>
      <w:numPr>
        <w:ilvl w:val="6"/>
        <w:numId w:val="4"/>
      </w:numPr>
      <w:spacing w:before="240" w:after="60"/>
      <w:outlineLvl w:val="6"/>
    </w:pPr>
    <w:rPr>
      <w:rFonts w:ascii="Times New Roman" w:hAnsi="Times New Roman"/>
      <w:sz w:val="24"/>
    </w:rPr>
  </w:style>
  <w:style w:type="paragraph" w:styleId="Heading8">
    <w:name w:val="heading 8"/>
    <w:basedOn w:val="Normal"/>
    <w:next w:val="Normal"/>
    <w:qFormat/>
    <w:rsid w:val="000C1348"/>
    <w:pPr>
      <w:numPr>
        <w:ilvl w:val="7"/>
        <w:numId w:val="4"/>
      </w:numPr>
      <w:spacing w:before="240" w:after="60"/>
      <w:outlineLvl w:val="7"/>
    </w:pPr>
    <w:rPr>
      <w:rFonts w:ascii="Times New Roman" w:hAnsi="Times New Roman"/>
      <w:i/>
      <w:iCs/>
      <w:sz w:val="24"/>
    </w:rPr>
  </w:style>
  <w:style w:type="paragraph" w:styleId="Heading9">
    <w:name w:val="heading 9"/>
    <w:basedOn w:val="Normal"/>
    <w:next w:val="Normal"/>
    <w:qFormat/>
    <w:rsid w:val="000C1348"/>
    <w:pPr>
      <w:numPr>
        <w:ilvl w:val="8"/>
        <w:numId w:val="4"/>
      </w:numPr>
      <w:spacing w:before="240" w:after="60"/>
      <w:outlineLvl w:val="8"/>
    </w:pPr>
    <w:rPr>
      <w:rFonts w:cs="Arial"/>
      <w:sz w:val="22"/>
    </w:rPr>
  </w:style>
  <w:style w:type="character" w:default="1" w:styleId="DefaultParagraphFont">
    <w:name w:val="Default Paragraph Font"/>
    <w:uiPriority w:val="1"/>
    <w:semiHidden/>
    <w:unhideWhenUsed/>
    <w:rsid w:val="00B30C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0C3E"/>
  </w:style>
  <w:style w:type="paragraph" w:styleId="Header">
    <w:name w:val="header"/>
    <w:basedOn w:val="Normal"/>
    <w:pPr>
      <w:numPr>
        <w:numId w:val="1"/>
      </w:num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0C1348"/>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autoRedefine/>
    <w:uiPriority w:val="39"/>
    <w:rsid w:val="00B30C3E"/>
    <w:pPr>
      <w:tabs>
        <w:tab w:val="left" w:pos="567"/>
        <w:tab w:val="right" w:leader="dot" w:pos="9071"/>
      </w:tabs>
      <w:spacing w:before="120" w:after="60"/>
      <w:ind w:left="567" w:hanging="567"/>
      <w:jc w:val="both"/>
    </w:pPr>
    <w:rPr>
      <w:rFonts w:ascii="Arial" w:hAnsi="Arial" w:cs="Arial"/>
      <w:b/>
      <w:noProof/>
      <w:szCs w:val="24"/>
    </w:rPr>
  </w:style>
  <w:style w:type="paragraph" w:styleId="TOC2">
    <w:name w:val="toc 2"/>
    <w:next w:val="ASDEFCONNormal"/>
    <w:autoRedefine/>
    <w:uiPriority w:val="39"/>
    <w:rsid w:val="00B30C3E"/>
    <w:pPr>
      <w:tabs>
        <w:tab w:val="right" w:leader="dot" w:pos="9072"/>
      </w:tabs>
      <w:spacing w:after="60"/>
      <w:ind w:left="1134" w:hanging="567"/>
    </w:pPr>
    <w:rPr>
      <w:rFonts w:ascii="Arial" w:hAnsi="Arial" w:cs="Arial"/>
      <w:szCs w:val="24"/>
    </w:rPr>
  </w:style>
  <w:style w:type="paragraph" w:styleId="BodyText">
    <w:name w:val="Body Text"/>
    <w:basedOn w:val="Normal"/>
    <w:rsid w:val="000C1348"/>
  </w:style>
  <w:style w:type="paragraph" w:customStyle="1" w:styleId="Style1">
    <w:name w:val="Style1"/>
    <w:basedOn w:val="Heading4"/>
    <w:rsid w:val="000C1348"/>
    <w:rPr>
      <w:b w:val="0"/>
    </w:rPr>
  </w:style>
  <w:style w:type="paragraph" w:styleId="EndnoteText">
    <w:name w:val="endnote text"/>
    <w:basedOn w:val="Normal"/>
    <w:semiHidden/>
    <w:rsid w:val="000C1348"/>
    <w:rPr>
      <w:szCs w:val="20"/>
    </w:rPr>
  </w:style>
  <w:style w:type="paragraph" w:customStyle="1" w:styleId="COTCOCLV2-ASDEFCON">
    <w:name w:val="COT/COC LV2 - ASDEFCON"/>
    <w:basedOn w:val="ASDEFCONNormal"/>
    <w:next w:val="COTCOCLV3-ASDEFCON"/>
    <w:rsid w:val="00B30C3E"/>
    <w:pPr>
      <w:keepNext/>
      <w:keepLines/>
      <w:numPr>
        <w:ilvl w:val="1"/>
        <w:numId w:val="5"/>
      </w:numPr>
      <w:pBdr>
        <w:bottom w:val="single" w:sz="4" w:space="1" w:color="auto"/>
      </w:pBdr>
    </w:pPr>
    <w:rPr>
      <w:b/>
    </w:rPr>
  </w:style>
  <w:style w:type="paragraph" w:customStyle="1" w:styleId="ASDEFCONNormal">
    <w:name w:val="ASDEFCON Normal"/>
    <w:link w:val="ASDEFCONNormalChar"/>
    <w:rsid w:val="00B30C3E"/>
    <w:pPr>
      <w:spacing w:after="120"/>
      <w:jc w:val="both"/>
    </w:pPr>
    <w:rPr>
      <w:rFonts w:ascii="Arial" w:hAnsi="Arial"/>
      <w:color w:val="000000"/>
      <w:szCs w:val="40"/>
    </w:rPr>
  </w:style>
  <w:style w:type="character" w:customStyle="1" w:styleId="ASDEFCONNormalChar">
    <w:name w:val="ASDEFCON Normal Char"/>
    <w:link w:val="ASDEFCONNormal"/>
    <w:rsid w:val="00B30C3E"/>
    <w:rPr>
      <w:rFonts w:ascii="Arial" w:hAnsi="Arial"/>
      <w:color w:val="000000"/>
      <w:szCs w:val="40"/>
    </w:rPr>
  </w:style>
  <w:style w:type="paragraph" w:customStyle="1" w:styleId="COTCOCLV3-ASDEFCON">
    <w:name w:val="COT/COC LV3 - ASDEFCON"/>
    <w:basedOn w:val="ASDEFCONNormal"/>
    <w:rsid w:val="00B30C3E"/>
    <w:pPr>
      <w:numPr>
        <w:ilvl w:val="2"/>
        <w:numId w:val="5"/>
      </w:numPr>
    </w:pPr>
  </w:style>
  <w:style w:type="paragraph" w:customStyle="1" w:styleId="COTCOCLV1-ASDEFCON">
    <w:name w:val="COT/COC LV1 - ASDEFCON"/>
    <w:basedOn w:val="ASDEFCONNormal"/>
    <w:next w:val="COTCOCLV2-ASDEFCON"/>
    <w:rsid w:val="00B30C3E"/>
    <w:pPr>
      <w:keepNext/>
      <w:keepLines/>
      <w:numPr>
        <w:numId w:val="5"/>
      </w:numPr>
      <w:spacing w:before="240"/>
    </w:pPr>
    <w:rPr>
      <w:b/>
      <w:caps/>
    </w:rPr>
  </w:style>
  <w:style w:type="paragraph" w:customStyle="1" w:styleId="COTCOCLV4-ASDEFCON">
    <w:name w:val="COT/COC LV4 - ASDEFCON"/>
    <w:basedOn w:val="ASDEFCONNormal"/>
    <w:rsid w:val="00B30C3E"/>
    <w:pPr>
      <w:numPr>
        <w:ilvl w:val="3"/>
        <w:numId w:val="5"/>
      </w:numPr>
    </w:pPr>
  </w:style>
  <w:style w:type="paragraph" w:customStyle="1" w:styleId="COTCOCLV5-ASDEFCON">
    <w:name w:val="COT/COC LV5 - ASDEFCON"/>
    <w:basedOn w:val="ASDEFCONNormal"/>
    <w:rsid w:val="00B30C3E"/>
    <w:pPr>
      <w:numPr>
        <w:ilvl w:val="4"/>
        <w:numId w:val="5"/>
      </w:numPr>
    </w:pPr>
  </w:style>
  <w:style w:type="paragraph" w:customStyle="1" w:styleId="COTCOCLV6-ASDEFCON">
    <w:name w:val="COT/COC LV6 - ASDEFCON"/>
    <w:basedOn w:val="ASDEFCONNormal"/>
    <w:rsid w:val="00B30C3E"/>
    <w:pPr>
      <w:keepLines/>
      <w:numPr>
        <w:ilvl w:val="5"/>
        <w:numId w:val="5"/>
      </w:numPr>
    </w:pPr>
  </w:style>
  <w:style w:type="paragraph" w:customStyle="1" w:styleId="ASDEFCONOption">
    <w:name w:val="ASDEFCON Option"/>
    <w:basedOn w:val="ASDEFCONNormal"/>
    <w:rsid w:val="00B30C3E"/>
    <w:pPr>
      <w:keepNext/>
      <w:spacing w:before="60"/>
    </w:pPr>
    <w:rPr>
      <w:b/>
      <w:i/>
      <w:szCs w:val="24"/>
    </w:rPr>
  </w:style>
  <w:style w:type="paragraph" w:customStyle="1" w:styleId="NoteToDrafters-ASDEFCON">
    <w:name w:val="Note To Drafters - ASDEFCON"/>
    <w:basedOn w:val="ASDEFCONNormal"/>
    <w:rsid w:val="00B30C3E"/>
    <w:pPr>
      <w:keepNext/>
      <w:shd w:val="clear" w:color="auto" w:fill="000000"/>
    </w:pPr>
    <w:rPr>
      <w:b/>
      <w:i/>
      <w:color w:val="FFFFFF"/>
    </w:rPr>
  </w:style>
  <w:style w:type="paragraph" w:customStyle="1" w:styleId="NoteToTenderers-ASDEFCON">
    <w:name w:val="Note To Tenderers - ASDEFCON"/>
    <w:basedOn w:val="ASDEFCONNormal"/>
    <w:rsid w:val="00B30C3E"/>
    <w:pPr>
      <w:keepNext/>
      <w:shd w:val="pct15" w:color="auto" w:fill="auto"/>
    </w:pPr>
    <w:rPr>
      <w:b/>
      <w:i/>
    </w:rPr>
  </w:style>
  <w:style w:type="paragraph" w:customStyle="1" w:styleId="ASDEFCONTitle">
    <w:name w:val="ASDEFCON Title"/>
    <w:basedOn w:val="Normal"/>
    <w:rsid w:val="00B30C3E"/>
    <w:pPr>
      <w:keepLines/>
      <w:spacing w:before="240"/>
      <w:jc w:val="center"/>
    </w:pPr>
    <w:rPr>
      <w:b/>
      <w:caps/>
    </w:rPr>
  </w:style>
  <w:style w:type="paragraph" w:customStyle="1" w:styleId="ATTANNLV1-ASDEFCON">
    <w:name w:val="ATT/ANN LV1 - ASDEFCON"/>
    <w:basedOn w:val="ASDEFCONNormal"/>
    <w:next w:val="ATTANNLV2-ASDEFCON"/>
    <w:rsid w:val="00B30C3E"/>
    <w:pPr>
      <w:keepNext/>
      <w:keepLines/>
      <w:numPr>
        <w:numId w:val="2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B30C3E"/>
    <w:pPr>
      <w:numPr>
        <w:ilvl w:val="1"/>
        <w:numId w:val="24"/>
      </w:numPr>
    </w:pPr>
    <w:rPr>
      <w:szCs w:val="24"/>
    </w:rPr>
  </w:style>
  <w:style w:type="character" w:customStyle="1" w:styleId="ATTANNLV2-ASDEFCONChar">
    <w:name w:val="ATT/ANN LV2 - ASDEFCON Char"/>
    <w:link w:val="ATTANNLV2-ASDEFCON"/>
    <w:rsid w:val="00B30C3E"/>
    <w:rPr>
      <w:rFonts w:ascii="Arial" w:hAnsi="Arial"/>
      <w:color w:val="000000"/>
      <w:szCs w:val="24"/>
    </w:rPr>
  </w:style>
  <w:style w:type="paragraph" w:customStyle="1" w:styleId="ATTANNLV3-ASDEFCON">
    <w:name w:val="ATT/ANN LV3 - ASDEFCON"/>
    <w:basedOn w:val="ASDEFCONNormal"/>
    <w:rsid w:val="00B30C3E"/>
    <w:pPr>
      <w:numPr>
        <w:ilvl w:val="2"/>
        <w:numId w:val="24"/>
      </w:numPr>
    </w:pPr>
    <w:rPr>
      <w:szCs w:val="24"/>
    </w:rPr>
  </w:style>
  <w:style w:type="paragraph" w:customStyle="1" w:styleId="ATTANNLV4-ASDEFCON">
    <w:name w:val="ATT/ANN LV4 - ASDEFCON"/>
    <w:basedOn w:val="ASDEFCONNormal"/>
    <w:rsid w:val="00B30C3E"/>
    <w:pPr>
      <w:numPr>
        <w:ilvl w:val="3"/>
        <w:numId w:val="24"/>
      </w:numPr>
    </w:pPr>
    <w:rPr>
      <w:szCs w:val="24"/>
    </w:rPr>
  </w:style>
  <w:style w:type="paragraph" w:customStyle="1" w:styleId="ASDEFCONCoverTitle">
    <w:name w:val="ASDEFCON Cover Title"/>
    <w:rsid w:val="00B30C3E"/>
    <w:pPr>
      <w:jc w:val="center"/>
    </w:pPr>
    <w:rPr>
      <w:rFonts w:ascii="Georgia" w:hAnsi="Georgia"/>
      <w:b/>
      <w:color w:val="000000"/>
      <w:sz w:val="100"/>
      <w:szCs w:val="24"/>
    </w:rPr>
  </w:style>
  <w:style w:type="paragraph" w:customStyle="1" w:styleId="ASDEFCONHeaderFooterLeft">
    <w:name w:val="ASDEFCON Header/Footer Left"/>
    <w:basedOn w:val="ASDEFCONNormal"/>
    <w:rsid w:val="00B30C3E"/>
    <w:pPr>
      <w:spacing w:after="0"/>
      <w:jc w:val="left"/>
    </w:pPr>
    <w:rPr>
      <w:sz w:val="16"/>
      <w:szCs w:val="24"/>
    </w:rPr>
  </w:style>
  <w:style w:type="paragraph" w:customStyle="1" w:styleId="ASDEFCONCoverPageIncorp">
    <w:name w:val="ASDEFCON Cover Page Incorp"/>
    <w:rsid w:val="00B30C3E"/>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B30C3E"/>
    <w:rPr>
      <w:b/>
      <w:i/>
    </w:rPr>
  </w:style>
  <w:style w:type="paragraph" w:customStyle="1" w:styleId="COTCOCLV2NONUM-ASDEFCON">
    <w:name w:val="COT/COC LV2 NONUM - ASDEFCON"/>
    <w:basedOn w:val="COTCOCLV2-ASDEFCON"/>
    <w:next w:val="COTCOCLV3-ASDEFCON"/>
    <w:rsid w:val="00B30C3E"/>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B30C3E"/>
    <w:pPr>
      <w:keepNext w:val="0"/>
      <w:numPr>
        <w:numId w:val="0"/>
      </w:numPr>
      <w:ind w:left="851"/>
    </w:pPr>
    <w:rPr>
      <w:bCs/>
      <w:szCs w:val="20"/>
    </w:rPr>
  </w:style>
  <w:style w:type="paragraph" w:customStyle="1" w:styleId="COTCOCLV3NONUM-ASDEFCON">
    <w:name w:val="COT/COC LV3 NONUM - ASDEFCON"/>
    <w:basedOn w:val="COTCOCLV3-ASDEFCON"/>
    <w:next w:val="COTCOCLV3-ASDEFCON"/>
    <w:rsid w:val="00B30C3E"/>
    <w:pPr>
      <w:numPr>
        <w:ilvl w:val="0"/>
        <w:numId w:val="0"/>
      </w:numPr>
      <w:ind w:left="851"/>
    </w:pPr>
    <w:rPr>
      <w:szCs w:val="20"/>
    </w:rPr>
  </w:style>
  <w:style w:type="paragraph" w:customStyle="1" w:styleId="COTCOCLV4NONUM-ASDEFCON">
    <w:name w:val="COT/COC LV4 NONUM - ASDEFCON"/>
    <w:basedOn w:val="COTCOCLV4-ASDEFCON"/>
    <w:next w:val="COTCOCLV4-ASDEFCON"/>
    <w:rsid w:val="00B30C3E"/>
    <w:pPr>
      <w:numPr>
        <w:ilvl w:val="0"/>
        <w:numId w:val="0"/>
      </w:numPr>
      <w:ind w:left="1418"/>
    </w:pPr>
    <w:rPr>
      <w:szCs w:val="20"/>
    </w:rPr>
  </w:style>
  <w:style w:type="paragraph" w:customStyle="1" w:styleId="COTCOCLV5NONUM-ASDEFCON">
    <w:name w:val="COT/COC LV5 NONUM - ASDEFCON"/>
    <w:basedOn w:val="COTCOCLV5-ASDEFCON"/>
    <w:next w:val="COTCOCLV5-ASDEFCON"/>
    <w:rsid w:val="00B30C3E"/>
    <w:pPr>
      <w:numPr>
        <w:ilvl w:val="0"/>
        <w:numId w:val="0"/>
      </w:numPr>
      <w:ind w:left="1985"/>
    </w:pPr>
    <w:rPr>
      <w:szCs w:val="20"/>
    </w:rPr>
  </w:style>
  <w:style w:type="paragraph" w:customStyle="1" w:styleId="COTCOCLV6NONUM-ASDEFCON">
    <w:name w:val="COT/COC LV6 NONUM - ASDEFCON"/>
    <w:basedOn w:val="COTCOCLV6-ASDEFCON"/>
    <w:next w:val="COTCOCLV6-ASDEFCON"/>
    <w:rsid w:val="00B30C3E"/>
    <w:pPr>
      <w:numPr>
        <w:ilvl w:val="0"/>
        <w:numId w:val="0"/>
      </w:numPr>
      <w:ind w:left="2552"/>
    </w:pPr>
    <w:rPr>
      <w:szCs w:val="20"/>
    </w:rPr>
  </w:style>
  <w:style w:type="paragraph" w:customStyle="1" w:styleId="ATTANNLV1NONUM-ASDEFCON">
    <w:name w:val="ATT/ANN LV1 NONUM - ASDEFCON"/>
    <w:basedOn w:val="ATTANNLV1-ASDEFCON"/>
    <w:next w:val="ATTANNLV2-ASDEFCON"/>
    <w:rsid w:val="00B30C3E"/>
    <w:pPr>
      <w:numPr>
        <w:numId w:val="0"/>
      </w:numPr>
      <w:ind w:left="851"/>
    </w:pPr>
    <w:rPr>
      <w:bCs/>
      <w:szCs w:val="20"/>
    </w:rPr>
  </w:style>
  <w:style w:type="paragraph" w:customStyle="1" w:styleId="ATTANNLV2NONUM-ASDEFCON">
    <w:name w:val="ATT/ANN LV2 NONUM - ASDEFCON"/>
    <w:basedOn w:val="ATTANNLV2-ASDEFCON"/>
    <w:next w:val="ATTANNLV2-ASDEFCON"/>
    <w:rsid w:val="00B30C3E"/>
    <w:pPr>
      <w:numPr>
        <w:ilvl w:val="0"/>
        <w:numId w:val="0"/>
      </w:numPr>
      <w:ind w:left="851"/>
    </w:pPr>
    <w:rPr>
      <w:szCs w:val="20"/>
    </w:rPr>
  </w:style>
  <w:style w:type="paragraph" w:customStyle="1" w:styleId="ATTANNLV3NONUM-ASDEFCON">
    <w:name w:val="ATT/ANN LV3 NONUM - ASDEFCON"/>
    <w:basedOn w:val="ATTANNLV3-ASDEFCON"/>
    <w:next w:val="ATTANNLV3-ASDEFCON"/>
    <w:rsid w:val="00B30C3E"/>
    <w:pPr>
      <w:numPr>
        <w:ilvl w:val="0"/>
        <w:numId w:val="0"/>
      </w:numPr>
      <w:ind w:left="1418"/>
    </w:pPr>
    <w:rPr>
      <w:szCs w:val="20"/>
    </w:rPr>
  </w:style>
  <w:style w:type="paragraph" w:customStyle="1" w:styleId="ATTANNLV4NONUM-ASDEFCON">
    <w:name w:val="ATT/ANN LV4 NONUM - ASDEFCON"/>
    <w:basedOn w:val="ATTANNLV4-ASDEFCON"/>
    <w:next w:val="ATTANNLV4-ASDEFCON"/>
    <w:rsid w:val="00B30C3E"/>
    <w:pPr>
      <w:numPr>
        <w:ilvl w:val="0"/>
        <w:numId w:val="0"/>
      </w:numPr>
      <w:ind w:left="1985"/>
    </w:pPr>
    <w:rPr>
      <w:szCs w:val="20"/>
    </w:rPr>
  </w:style>
  <w:style w:type="paragraph" w:customStyle="1" w:styleId="NoteToDraftersBullets-ASDEFCON">
    <w:name w:val="Note To Drafters Bullets - ASDEFCON"/>
    <w:basedOn w:val="NoteToDrafters-ASDEFCON"/>
    <w:rsid w:val="00B30C3E"/>
    <w:pPr>
      <w:numPr>
        <w:numId w:val="6"/>
      </w:numPr>
    </w:pPr>
    <w:rPr>
      <w:bCs/>
      <w:iCs/>
      <w:szCs w:val="20"/>
    </w:rPr>
  </w:style>
  <w:style w:type="paragraph" w:customStyle="1" w:styleId="NoteToDraftersList-ASDEFCON">
    <w:name w:val="Note To Drafters List - ASDEFCON"/>
    <w:basedOn w:val="NoteToDrafters-ASDEFCON"/>
    <w:rsid w:val="00B30C3E"/>
    <w:pPr>
      <w:numPr>
        <w:numId w:val="7"/>
      </w:numPr>
    </w:pPr>
    <w:rPr>
      <w:bCs/>
      <w:iCs/>
      <w:szCs w:val="20"/>
    </w:rPr>
  </w:style>
  <w:style w:type="paragraph" w:customStyle="1" w:styleId="NoteToTenderersBullets-ASDEFCON">
    <w:name w:val="Note To Tenderers Bullets - ASDEFCON"/>
    <w:basedOn w:val="NoteToTenderers-ASDEFCON"/>
    <w:rsid w:val="00B30C3E"/>
    <w:pPr>
      <w:numPr>
        <w:numId w:val="8"/>
      </w:numPr>
    </w:pPr>
    <w:rPr>
      <w:bCs/>
      <w:iCs/>
      <w:szCs w:val="20"/>
    </w:rPr>
  </w:style>
  <w:style w:type="paragraph" w:customStyle="1" w:styleId="NoteToTenderersList-ASDEFCON">
    <w:name w:val="Note To Tenderers List - ASDEFCON"/>
    <w:basedOn w:val="NoteToTenderers-ASDEFCON"/>
    <w:rsid w:val="00B30C3E"/>
    <w:pPr>
      <w:numPr>
        <w:numId w:val="9"/>
      </w:numPr>
    </w:pPr>
    <w:rPr>
      <w:bCs/>
      <w:iCs/>
      <w:szCs w:val="20"/>
    </w:rPr>
  </w:style>
  <w:style w:type="paragraph" w:customStyle="1" w:styleId="SOWHL1-ASDEFCON">
    <w:name w:val="SOW HL1 - ASDEFCON"/>
    <w:basedOn w:val="ASDEFCONNormal"/>
    <w:next w:val="SOWHL2-ASDEFCON"/>
    <w:qFormat/>
    <w:rsid w:val="00B30C3E"/>
    <w:pPr>
      <w:keepNext/>
      <w:numPr>
        <w:numId w:val="3"/>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B30C3E"/>
    <w:pPr>
      <w:keepNext/>
      <w:numPr>
        <w:ilvl w:val="1"/>
        <w:numId w:val="3"/>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B30C3E"/>
    <w:pPr>
      <w:keepNext/>
      <w:numPr>
        <w:ilvl w:val="2"/>
        <w:numId w:val="3"/>
      </w:numPr>
    </w:pPr>
    <w:rPr>
      <w:rFonts w:eastAsia="Calibri"/>
      <w:b/>
      <w:szCs w:val="22"/>
      <w:lang w:eastAsia="en-US"/>
    </w:rPr>
  </w:style>
  <w:style w:type="paragraph" w:customStyle="1" w:styleId="SOWHL4-ASDEFCON">
    <w:name w:val="SOW HL4 - ASDEFCON"/>
    <w:basedOn w:val="ASDEFCONNormal"/>
    <w:qFormat/>
    <w:rsid w:val="00B30C3E"/>
    <w:pPr>
      <w:keepNext/>
      <w:numPr>
        <w:ilvl w:val="3"/>
        <w:numId w:val="3"/>
      </w:numPr>
    </w:pPr>
    <w:rPr>
      <w:rFonts w:eastAsia="Calibri"/>
      <w:b/>
      <w:szCs w:val="22"/>
      <w:lang w:eastAsia="en-US"/>
    </w:rPr>
  </w:style>
  <w:style w:type="paragraph" w:customStyle="1" w:styleId="SOWHL5-ASDEFCON">
    <w:name w:val="SOW HL5 - ASDEFCON"/>
    <w:basedOn w:val="ASDEFCONNormal"/>
    <w:qFormat/>
    <w:rsid w:val="00B30C3E"/>
    <w:pPr>
      <w:keepNext/>
      <w:numPr>
        <w:ilvl w:val="4"/>
        <w:numId w:val="3"/>
      </w:numPr>
    </w:pPr>
    <w:rPr>
      <w:rFonts w:eastAsia="Calibri"/>
      <w:b/>
      <w:szCs w:val="22"/>
      <w:lang w:eastAsia="en-US"/>
    </w:rPr>
  </w:style>
  <w:style w:type="paragraph" w:customStyle="1" w:styleId="SOWSubL1-ASDEFCON">
    <w:name w:val="SOW SubL1 - ASDEFCON"/>
    <w:basedOn w:val="ASDEFCONNormal"/>
    <w:qFormat/>
    <w:rsid w:val="00B30C3E"/>
    <w:pPr>
      <w:numPr>
        <w:ilvl w:val="5"/>
        <w:numId w:val="3"/>
      </w:numPr>
    </w:pPr>
    <w:rPr>
      <w:rFonts w:eastAsia="Calibri"/>
      <w:szCs w:val="22"/>
      <w:lang w:eastAsia="en-US"/>
    </w:rPr>
  </w:style>
  <w:style w:type="paragraph" w:customStyle="1" w:styleId="SOWHL1NONUM-ASDEFCON">
    <w:name w:val="SOW HL1 NONUM - ASDEFCON"/>
    <w:basedOn w:val="SOWHL1-ASDEFCON"/>
    <w:next w:val="SOWHL2-ASDEFCON"/>
    <w:rsid w:val="00B30C3E"/>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B30C3E"/>
    <w:pPr>
      <w:numPr>
        <w:ilvl w:val="0"/>
        <w:numId w:val="0"/>
      </w:numPr>
      <w:ind w:left="1134"/>
    </w:pPr>
    <w:rPr>
      <w:rFonts w:eastAsia="Times New Roman"/>
      <w:bCs/>
      <w:szCs w:val="20"/>
    </w:rPr>
  </w:style>
  <w:style w:type="paragraph" w:customStyle="1" w:styleId="SOWTL2-ASDEFCON">
    <w:name w:val="SOW TL2 - ASDEFCON"/>
    <w:basedOn w:val="SOWHL2-ASDEFCON"/>
    <w:rsid w:val="00B30C3E"/>
    <w:pPr>
      <w:keepNext w:val="0"/>
      <w:pBdr>
        <w:bottom w:val="none" w:sz="0" w:space="0" w:color="auto"/>
      </w:pBdr>
    </w:pPr>
    <w:rPr>
      <w:b w:val="0"/>
    </w:rPr>
  </w:style>
  <w:style w:type="paragraph" w:customStyle="1" w:styleId="SOWTL3NONUM-ASDEFCON">
    <w:name w:val="SOW TL3 NONUM - ASDEFCON"/>
    <w:basedOn w:val="SOWTL3-ASDEFCON"/>
    <w:next w:val="SOWTL3-ASDEFCON"/>
    <w:rsid w:val="00B30C3E"/>
    <w:pPr>
      <w:numPr>
        <w:ilvl w:val="0"/>
        <w:numId w:val="0"/>
      </w:numPr>
      <w:ind w:left="1134"/>
    </w:pPr>
    <w:rPr>
      <w:rFonts w:eastAsia="Times New Roman"/>
      <w:bCs/>
      <w:szCs w:val="20"/>
    </w:rPr>
  </w:style>
  <w:style w:type="paragraph" w:customStyle="1" w:styleId="SOWTL3-ASDEFCON">
    <w:name w:val="SOW TL3 - ASDEFCON"/>
    <w:basedOn w:val="SOWHL3-ASDEFCON"/>
    <w:rsid w:val="00B30C3E"/>
    <w:pPr>
      <w:keepNext w:val="0"/>
    </w:pPr>
    <w:rPr>
      <w:b w:val="0"/>
    </w:rPr>
  </w:style>
  <w:style w:type="paragraph" w:customStyle="1" w:styleId="SOWTL4NONUM-ASDEFCON">
    <w:name w:val="SOW TL4 NONUM - ASDEFCON"/>
    <w:basedOn w:val="SOWTL4-ASDEFCON"/>
    <w:next w:val="SOWTL4-ASDEFCON"/>
    <w:rsid w:val="00B30C3E"/>
    <w:pPr>
      <w:numPr>
        <w:ilvl w:val="0"/>
        <w:numId w:val="0"/>
      </w:numPr>
      <w:ind w:left="1134"/>
    </w:pPr>
    <w:rPr>
      <w:rFonts w:eastAsia="Times New Roman"/>
      <w:bCs/>
      <w:szCs w:val="20"/>
    </w:rPr>
  </w:style>
  <w:style w:type="paragraph" w:customStyle="1" w:styleId="SOWTL4-ASDEFCON">
    <w:name w:val="SOW TL4 - ASDEFCON"/>
    <w:basedOn w:val="SOWHL4-ASDEFCON"/>
    <w:rsid w:val="00B30C3E"/>
    <w:pPr>
      <w:keepNext w:val="0"/>
    </w:pPr>
    <w:rPr>
      <w:b w:val="0"/>
    </w:rPr>
  </w:style>
  <w:style w:type="paragraph" w:customStyle="1" w:styleId="SOWTL5NONUM-ASDEFCON">
    <w:name w:val="SOW TL5 NONUM - ASDEFCON"/>
    <w:basedOn w:val="SOWHL5-ASDEFCON"/>
    <w:next w:val="SOWTL5-ASDEFCON"/>
    <w:rsid w:val="00B30C3E"/>
    <w:pPr>
      <w:keepNext w:val="0"/>
      <w:numPr>
        <w:ilvl w:val="0"/>
        <w:numId w:val="0"/>
      </w:numPr>
      <w:ind w:left="1134"/>
    </w:pPr>
    <w:rPr>
      <w:b w:val="0"/>
    </w:rPr>
  </w:style>
  <w:style w:type="paragraph" w:customStyle="1" w:styleId="SOWTL5-ASDEFCON">
    <w:name w:val="SOW TL5 - ASDEFCON"/>
    <w:basedOn w:val="SOWHL5-ASDEFCON"/>
    <w:rsid w:val="00B30C3E"/>
    <w:pPr>
      <w:keepNext w:val="0"/>
    </w:pPr>
    <w:rPr>
      <w:b w:val="0"/>
    </w:rPr>
  </w:style>
  <w:style w:type="paragraph" w:customStyle="1" w:styleId="SOWSubL2-ASDEFCON">
    <w:name w:val="SOW SubL2 - ASDEFCON"/>
    <w:basedOn w:val="ASDEFCONNormal"/>
    <w:qFormat/>
    <w:rsid w:val="00B30C3E"/>
    <w:pPr>
      <w:numPr>
        <w:ilvl w:val="6"/>
        <w:numId w:val="3"/>
      </w:numPr>
    </w:pPr>
    <w:rPr>
      <w:rFonts w:eastAsia="Calibri"/>
      <w:szCs w:val="22"/>
      <w:lang w:eastAsia="en-US"/>
    </w:rPr>
  </w:style>
  <w:style w:type="paragraph" w:customStyle="1" w:styleId="SOWSubL1NONUM-ASDEFCON">
    <w:name w:val="SOW SubL1 NONUM - ASDEFCON"/>
    <w:basedOn w:val="SOWSubL1-ASDEFCON"/>
    <w:next w:val="SOWSubL1-ASDEFCON"/>
    <w:qFormat/>
    <w:rsid w:val="00B30C3E"/>
    <w:pPr>
      <w:numPr>
        <w:numId w:val="0"/>
      </w:numPr>
      <w:ind w:left="1701"/>
    </w:pPr>
  </w:style>
  <w:style w:type="paragraph" w:customStyle="1" w:styleId="SOWSubL2NONUM-ASDEFCON">
    <w:name w:val="SOW SubL2 NONUM - ASDEFCON"/>
    <w:basedOn w:val="SOWSubL2-ASDEFCON"/>
    <w:next w:val="SOWSubL2-ASDEFCON"/>
    <w:qFormat/>
    <w:rsid w:val="00B30C3E"/>
    <w:pPr>
      <w:numPr>
        <w:ilvl w:val="0"/>
        <w:numId w:val="0"/>
      </w:numPr>
      <w:ind w:left="2268"/>
    </w:pPr>
  </w:style>
  <w:style w:type="paragraph" w:styleId="FootnoteText">
    <w:name w:val="footnote text"/>
    <w:basedOn w:val="Normal"/>
    <w:semiHidden/>
    <w:rsid w:val="00B30C3E"/>
    <w:rPr>
      <w:szCs w:val="20"/>
    </w:rPr>
  </w:style>
  <w:style w:type="paragraph" w:customStyle="1" w:styleId="ASDEFCONTextBlock">
    <w:name w:val="ASDEFCON TextBlock"/>
    <w:basedOn w:val="ASDEFCONNormal"/>
    <w:qFormat/>
    <w:rsid w:val="00B30C3E"/>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B30C3E"/>
    <w:pPr>
      <w:numPr>
        <w:numId w:val="1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B30C3E"/>
    <w:pPr>
      <w:keepNext/>
      <w:spacing w:before="240"/>
    </w:pPr>
    <w:rPr>
      <w:rFonts w:ascii="Arial Bold" w:hAnsi="Arial Bold"/>
      <w:b/>
      <w:bCs/>
      <w:caps/>
      <w:szCs w:val="20"/>
    </w:rPr>
  </w:style>
  <w:style w:type="paragraph" w:customStyle="1" w:styleId="Table8ptHeading-ASDEFCON">
    <w:name w:val="Table 8pt Heading - ASDEFCON"/>
    <w:basedOn w:val="ASDEFCONNormal"/>
    <w:rsid w:val="00B30C3E"/>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B30C3E"/>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B30C3E"/>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B30C3E"/>
    <w:rPr>
      <w:rFonts w:ascii="Arial" w:eastAsia="Calibri" w:hAnsi="Arial"/>
      <w:color w:val="000000"/>
      <w:szCs w:val="22"/>
      <w:lang w:eastAsia="en-US"/>
    </w:rPr>
  </w:style>
  <w:style w:type="paragraph" w:customStyle="1" w:styleId="Table8ptSub1-ASDEFCON">
    <w:name w:val="Table 8pt Sub1 - ASDEFCON"/>
    <w:basedOn w:val="Table8ptText-ASDEFCON"/>
    <w:rsid w:val="00B30C3E"/>
    <w:pPr>
      <w:numPr>
        <w:ilvl w:val="1"/>
      </w:numPr>
    </w:pPr>
  </w:style>
  <w:style w:type="paragraph" w:customStyle="1" w:styleId="Table8ptSub2-ASDEFCON">
    <w:name w:val="Table 8pt Sub2 - ASDEFCON"/>
    <w:basedOn w:val="Table8ptText-ASDEFCON"/>
    <w:rsid w:val="00B30C3E"/>
    <w:pPr>
      <w:numPr>
        <w:ilvl w:val="2"/>
      </w:numPr>
    </w:pPr>
  </w:style>
  <w:style w:type="paragraph" w:customStyle="1" w:styleId="Table10ptHeading-ASDEFCON">
    <w:name w:val="Table 10pt Heading - ASDEFCON"/>
    <w:basedOn w:val="ASDEFCONNormal"/>
    <w:rsid w:val="00B30C3E"/>
    <w:pPr>
      <w:keepNext/>
      <w:spacing w:before="60" w:after="60"/>
      <w:jc w:val="center"/>
    </w:pPr>
    <w:rPr>
      <w:b/>
    </w:rPr>
  </w:style>
  <w:style w:type="paragraph" w:customStyle="1" w:styleId="Table8ptBP1-ASDEFCON">
    <w:name w:val="Table 8pt BP1 - ASDEFCON"/>
    <w:basedOn w:val="Table8ptText-ASDEFCON"/>
    <w:rsid w:val="00B30C3E"/>
    <w:pPr>
      <w:numPr>
        <w:numId w:val="11"/>
      </w:numPr>
      <w:tabs>
        <w:tab w:val="clear" w:pos="284"/>
      </w:tabs>
    </w:pPr>
  </w:style>
  <w:style w:type="paragraph" w:customStyle="1" w:styleId="Table8ptBP2-ASDEFCON">
    <w:name w:val="Table 8pt BP2 - ASDEFCON"/>
    <w:basedOn w:val="Table8ptText-ASDEFCON"/>
    <w:rsid w:val="00B30C3E"/>
    <w:pPr>
      <w:numPr>
        <w:ilvl w:val="1"/>
        <w:numId w:val="11"/>
      </w:numPr>
      <w:tabs>
        <w:tab w:val="clear" w:pos="284"/>
      </w:tabs>
    </w:pPr>
    <w:rPr>
      <w:iCs/>
    </w:rPr>
  </w:style>
  <w:style w:type="paragraph" w:customStyle="1" w:styleId="ASDEFCONBulletsLV1">
    <w:name w:val="ASDEFCON Bullets LV1"/>
    <w:basedOn w:val="ASDEFCONNormal"/>
    <w:rsid w:val="00B30C3E"/>
    <w:pPr>
      <w:numPr>
        <w:numId w:val="13"/>
      </w:numPr>
    </w:pPr>
    <w:rPr>
      <w:rFonts w:eastAsia="Calibri"/>
      <w:szCs w:val="22"/>
      <w:lang w:eastAsia="en-US"/>
    </w:rPr>
  </w:style>
  <w:style w:type="paragraph" w:customStyle="1" w:styleId="Table10ptSub1-ASDEFCON">
    <w:name w:val="Table 10pt Sub1 - ASDEFCON"/>
    <w:basedOn w:val="Table10ptText-ASDEFCON"/>
    <w:rsid w:val="00B30C3E"/>
    <w:pPr>
      <w:numPr>
        <w:numId w:val="0"/>
      </w:numPr>
      <w:tabs>
        <w:tab w:val="num" w:pos="284"/>
      </w:tabs>
      <w:ind w:left="284" w:hanging="284"/>
      <w:jc w:val="both"/>
    </w:pPr>
  </w:style>
  <w:style w:type="paragraph" w:customStyle="1" w:styleId="Table10ptSub2-ASDEFCON">
    <w:name w:val="Table 10pt Sub2 - ASDEFCON"/>
    <w:basedOn w:val="Table10ptText-ASDEFCON"/>
    <w:rsid w:val="00B30C3E"/>
    <w:pPr>
      <w:numPr>
        <w:numId w:val="0"/>
      </w:numPr>
      <w:tabs>
        <w:tab w:val="num" w:pos="567"/>
      </w:tabs>
      <w:ind w:left="567" w:hanging="283"/>
      <w:jc w:val="both"/>
    </w:pPr>
  </w:style>
  <w:style w:type="paragraph" w:customStyle="1" w:styleId="ASDEFCONBulletsLV2">
    <w:name w:val="ASDEFCON Bullets LV2"/>
    <w:basedOn w:val="ASDEFCONNormal"/>
    <w:rsid w:val="00B30C3E"/>
    <w:pPr>
      <w:numPr>
        <w:numId w:val="2"/>
      </w:numPr>
    </w:pPr>
  </w:style>
  <w:style w:type="paragraph" w:customStyle="1" w:styleId="Table10ptBP1-ASDEFCON">
    <w:name w:val="Table 10pt BP1 - ASDEFCON"/>
    <w:basedOn w:val="ASDEFCONNormal"/>
    <w:rsid w:val="00B30C3E"/>
    <w:pPr>
      <w:numPr>
        <w:numId w:val="17"/>
      </w:numPr>
      <w:spacing w:before="60" w:after="60"/>
    </w:pPr>
  </w:style>
  <w:style w:type="paragraph" w:customStyle="1" w:styleId="Table10ptBP2-ASDEFCON">
    <w:name w:val="Table 10pt BP2 - ASDEFCON"/>
    <w:basedOn w:val="ASDEFCONNormal"/>
    <w:link w:val="Table10ptBP2-ASDEFCONCharChar"/>
    <w:rsid w:val="00B30C3E"/>
    <w:pPr>
      <w:numPr>
        <w:ilvl w:val="1"/>
        <w:numId w:val="17"/>
      </w:numPr>
      <w:spacing w:before="60" w:after="60"/>
    </w:pPr>
  </w:style>
  <w:style w:type="character" w:customStyle="1" w:styleId="Table10ptBP2-ASDEFCONCharChar">
    <w:name w:val="Table 10pt BP2 - ASDEFCON Char Char"/>
    <w:link w:val="Table10ptBP2-ASDEFCON"/>
    <w:rsid w:val="00B30C3E"/>
    <w:rPr>
      <w:rFonts w:ascii="Arial" w:hAnsi="Arial"/>
      <w:color w:val="000000"/>
      <w:szCs w:val="40"/>
    </w:rPr>
  </w:style>
  <w:style w:type="paragraph" w:customStyle="1" w:styleId="GuideMarginHead-ASDEFCON">
    <w:name w:val="Guide Margin Head - ASDEFCON"/>
    <w:basedOn w:val="ASDEFCONNormal"/>
    <w:rsid w:val="00B30C3E"/>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B30C3E"/>
    <w:pPr>
      <w:ind w:left="1680"/>
    </w:pPr>
    <w:rPr>
      <w:lang w:eastAsia="en-US"/>
    </w:rPr>
  </w:style>
  <w:style w:type="paragraph" w:customStyle="1" w:styleId="GuideSublistLv1-ASDEFCON">
    <w:name w:val="Guide Sublist Lv1 - ASDEFCON"/>
    <w:basedOn w:val="ASDEFCONNormal"/>
    <w:qFormat/>
    <w:rsid w:val="00B30C3E"/>
    <w:pPr>
      <w:numPr>
        <w:numId w:val="21"/>
      </w:numPr>
    </w:pPr>
    <w:rPr>
      <w:rFonts w:eastAsia="Calibri"/>
      <w:szCs w:val="22"/>
      <w:lang w:eastAsia="en-US"/>
    </w:rPr>
  </w:style>
  <w:style w:type="paragraph" w:customStyle="1" w:styleId="GuideBullets-ASDEFCON">
    <w:name w:val="Guide Bullets - ASDEFCON"/>
    <w:basedOn w:val="ASDEFCONNormal"/>
    <w:rsid w:val="00B30C3E"/>
    <w:pPr>
      <w:numPr>
        <w:ilvl w:val="6"/>
        <w:numId w:val="1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B30C3E"/>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B30C3E"/>
    <w:pPr>
      <w:keepNext/>
      <w:spacing w:before="240"/>
    </w:pPr>
    <w:rPr>
      <w:rFonts w:eastAsia="Calibri"/>
      <w:b/>
      <w:caps/>
      <w:szCs w:val="20"/>
      <w:lang w:eastAsia="en-US"/>
    </w:rPr>
  </w:style>
  <w:style w:type="paragraph" w:customStyle="1" w:styleId="ASDEFCONSublist">
    <w:name w:val="ASDEFCON Sublist"/>
    <w:basedOn w:val="ASDEFCONNormal"/>
    <w:rsid w:val="00B30C3E"/>
    <w:pPr>
      <w:numPr>
        <w:numId w:val="22"/>
      </w:numPr>
    </w:pPr>
    <w:rPr>
      <w:iCs/>
    </w:rPr>
  </w:style>
  <w:style w:type="paragraph" w:customStyle="1" w:styleId="ASDEFCONRecitals">
    <w:name w:val="ASDEFCON Recitals"/>
    <w:basedOn w:val="ASDEFCONNormal"/>
    <w:link w:val="ASDEFCONRecitalsCharChar"/>
    <w:rsid w:val="00B30C3E"/>
    <w:pPr>
      <w:numPr>
        <w:numId w:val="14"/>
      </w:numPr>
    </w:pPr>
  </w:style>
  <w:style w:type="character" w:customStyle="1" w:styleId="ASDEFCONRecitalsCharChar">
    <w:name w:val="ASDEFCON Recitals Char Char"/>
    <w:link w:val="ASDEFCONRecitals"/>
    <w:rsid w:val="00B30C3E"/>
    <w:rPr>
      <w:rFonts w:ascii="Arial" w:hAnsi="Arial"/>
      <w:color w:val="000000"/>
      <w:szCs w:val="40"/>
    </w:rPr>
  </w:style>
  <w:style w:type="paragraph" w:customStyle="1" w:styleId="NoteList-ASDEFCON">
    <w:name w:val="Note List - ASDEFCON"/>
    <w:basedOn w:val="ASDEFCONNormal"/>
    <w:rsid w:val="00B30C3E"/>
    <w:pPr>
      <w:numPr>
        <w:numId w:val="15"/>
      </w:numPr>
    </w:pPr>
    <w:rPr>
      <w:b/>
      <w:bCs/>
      <w:i/>
    </w:rPr>
  </w:style>
  <w:style w:type="paragraph" w:customStyle="1" w:styleId="NoteBullets-ASDEFCON">
    <w:name w:val="Note Bullets - ASDEFCON"/>
    <w:basedOn w:val="ASDEFCONNormal"/>
    <w:rsid w:val="00B30C3E"/>
    <w:pPr>
      <w:numPr>
        <w:numId w:val="16"/>
      </w:numPr>
    </w:pPr>
    <w:rPr>
      <w:b/>
      <w:i/>
    </w:rPr>
  </w:style>
  <w:style w:type="paragraph" w:styleId="Caption">
    <w:name w:val="caption"/>
    <w:basedOn w:val="Normal"/>
    <w:next w:val="Normal"/>
    <w:qFormat/>
    <w:rsid w:val="00B30C3E"/>
    <w:pPr>
      <w:jc w:val="center"/>
    </w:pPr>
    <w:rPr>
      <w:b/>
      <w:bCs/>
      <w:szCs w:val="20"/>
    </w:rPr>
  </w:style>
  <w:style w:type="paragraph" w:customStyle="1" w:styleId="ASDEFCONOperativePartListLV1">
    <w:name w:val="ASDEFCON Operative Part List LV1"/>
    <w:basedOn w:val="ASDEFCONNormal"/>
    <w:rsid w:val="00B30C3E"/>
    <w:pPr>
      <w:numPr>
        <w:numId w:val="18"/>
      </w:numPr>
    </w:pPr>
    <w:rPr>
      <w:iCs/>
    </w:rPr>
  </w:style>
  <w:style w:type="paragraph" w:customStyle="1" w:styleId="ASDEFCONOperativePartListLV2">
    <w:name w:val="ASDEFCON Operative Part List LV2"/>
    <w:basedOn w:val="ASDEFCONOperativePartListLV1"/>
    <w:rsid w:val="00B30C3E"/>
    <w:pPr>
      <w:numPr>
        <w:ilvl w:val="1"/>
      </w:numPr>
    </w:pPr>
  </w:style>
  <w:style w:type="paragraph" w:customStyle="1" w:styleId="ASDEFCONOptionSpace">
    <w:name w:val="ASDEFCON Option Space"/>
    <w:basedOn w:val="ASDEFCONNormal"/>
    <w:rsid w:val="00B30C3E"/>
    <w:pPr>
      <w:spacing w:after="0"/>
    </w:pPr>
    <w:rPr>
      <w:bCs/>
      <w:color w:val="FFFFFF"/>
      <w:sz w:val="8"/>
    </w:rPr>
  </w:style>
  <w:style w:type="paragraph" w:customStyle="1" w:styleId="ATTANNReferencetoCOC">
    <w:name w:val="ATT/ANN Reference to COC"/>
    <w:basedOn w:val="ASDEFCONNormal"/>
    <w:rsid w:val="00B30C3E"/>
    <w:pPr>
      <w:keepNext/>
      <w:jc w:val="right"/>
    </w:pPr>
    <w:rPr>
      <w:i/>
      <w:iCs/>
      <w:szCs w:val="20"/>
    </w:rPr>
  </w:style>
  <w:style w:type="paragraph" w:customStyle="1" w:styleId="ASDEFCONHeaderFooterCenter">
    <w:name w:val="ASDEFCON Header/Footer Center"/>
    <w:basedOn w:val="ASDEFCONHeaderFooterLeft"/>
    <w:rsid w:val="00B30C3E"/>
    <w:pPr>
      <w:jc w:val="center"/>
    </w:pPr>
    <w:rPr>
      <w:szCs w:val="20"/>
    </w:rPr>
  </w:style>
  <w:style w:type="paragraph" w:customStyle="1" w:styleId="ASDEFCONHeaderFooterRight">
    <w:name w:val="ASDEFCON Header/Footer Right"/>
    <w:basedOn w:val="ASDEFCONHeaderFooterLeft"/>
    <w:rsid w:val="00B30C3E"/>
    <w:pPr>
      <w:jc w:val="right"/>
    </w:pPr>
    <w:rPr>
      <w:szCs w:val="20"/>
    </w:rPr>
  </w:style>
  <w:style w:type="paragraph" w:customStyle="1" w:styleId="ASDEFCONHeaderFooterClassification">
    <w:name w:val="ASDEFCON Header/Footer Classification"/>
    <w:basedOn w:val="ASDEFCONHeaderFooterLeft"/>
    <w:rsid w:val="00B30C3E"/>
    <w:pPr>
      <w:jc w:val="center"/>
    </w:pPr>
    <w:rPr>
      <w:rFonts w:ascii="Arial Bold" w:hAnsi="Arial Bold"/>
      <w:b/>
      <w:bCs/>
      <w:caps/>
      <w:sz w:val="20"/>
    </w:rPr>
  </w:style>
  <w:style w:type="paragraph" w:customStyle="1" w:styleId="GuideLV3Head-ASDEFCON">
    <w:name w:val="Guide LV3 Head - ASDEFCON"/>
    <w:basedOn w:val="ASDEFCONNormal"/>
    <w:rsid w:val="00B30C3E"/>
    <w:pPr>
      <w:keepNext/>
    </w:pPr>
    <w:rPr>
      <w:rFonts w:eastAsia="Calibri"/>
      <w:b/>
      <w:szCs w:val="22"/>
      <w:lang w:eastAsia="en-US"/>
    </w:rPr>
  </w:style>
  <w:style w:type="paragraph" w:customStyle="1" w:styleId="GuideSublistLv2-ASDEFCON">
    <w:name w:val="Guide Sublist Lv2 - ASDEFCON"/>
    <w:basedOn w:val="ASDEFCONNormal"/>
    <w:rsid w:val="00B30C3E"/>
    <w:pPr>
      <w:numPr>
        <w:ilvl w:val="1"/>
        <w:numId w:val="21"/>
      </w:numPr>
    </w:pPr>
  </w:style>
  <w:style w:type="paragraph" w:styleId="TOC3">
    <w:name w:val="toc 3"/>
    <w:basedOn w:val="Normal"/>
    <w:next w:val="Normal"/>
    <w:autoRedefine/>
    <w:rsid w:val="00B30C3E"/>
    <w:pPr>
      <w:spacing w:after="100"/>
      <w:ind w:left="400"/>
    </w:pPr>
  </w:style>
  <w:style w:type="character" w:customStyle="1" w:styleId="Heading1Char">
    <w:name w:val="Heading 1 Char"/>
    <w:link w:val="Heading1"/>
    <w:locked/>
    <w:rsid w:val="00B30C3E"/>
    <w:rPr>
      <w:rFonts w:ascii="Georgia" w:hAnsi="Georgia" w:cs="Arial"/>
      <w:b/>
      <w:bCs/>
      <w:color w:val="CF4520"/>
      <w:kern w:val="32"/>
      <w:sz w:val="32"/>
      <w:szCs w:val="32"/>
    </w:rPr>
  </w:style>
  <w:style w:type="character" w:customStyle="1" w:styleId="Heading2Char">
    <w:name w:val="Heading 2 Char"/>
    <w:link w:val="Heading2"/>
    <w:rsid w:val="00B30C3E"/>
    <w:rPr>
      <w:rFonts w:ascii="Georgia" w:hAnsi="Georgia"/>
      <w:b/>
      <w:bCs/>
      <w:color w:val="CF4520"/>
      <w:sz w:val="28"/>
      <w:szCs w:val="26"/>
    </w:rPr>
  </w:style>
  <w:style w:type="character" w:styleId="Hyperlink">
    <w:name w:val="Hyperlink"/>
    <w:uiPriority w:val="99"/>
    <w:unhideWhenUsed/>
    <w:rsid w:val="00B30C3E"/>
    <w:rPr>
      <w:color w:val="0000FF"/>
      <w:u w:val="single"/>
    </w:rPr>
  </w:style>
  <w:style w:type="paragraph" w:styleId="TOC4">
    <w:name w:val="toc 4"/>
    <w:basedOn w:val="Normal"/>
    <w:next w:val="Normal"/>
    <w:autoRedefine/>
    <w:rsid w:val="00B30C3E"/>
    <w:pPr>
      <w:spacing w:after="100"/>
      <w:ind w:left="600"/>
    </w:pPr>
  </w:style>
  <w:style w:type="paragraph" w:styleId="TOC5">
    <w:name w:val="toc 5"/>
    <w:basedOn w:val="Normal"/>
    <w:next w:val="Normal"/>
    <w:autoRedefine/>
    <w:rsid w:val="00B30C3E"/>
    <w:pPr>
      <w:spacing w:after="100"/>
      <w:ind w:left="800"/>
    </w:pPr>
  </w:style>
  <w:style w:type="paragraph" w:styleId="TOC6">
    <w:name w:val="toc 6"/>
    <w:basedOn w:val="Normal"/>
    <w:next w:val="Normal"/>
    <w:autoRedefine/>
    <w:rsid w:val="00B30C3E"/>
    <w:pPr>
      <w:spacing w:after="100"/>
      <w:ind w:left="1000"/>
    </w:pPr>
  </w:style>
  <w:style w:type="paragraph" w:styleId="TOC7">
    <w:name w:val="toc 7"/>
    <w:basedOn w:val="Normal"/>
    <w:next w:val="Normal"/>
    <w:autoRedefine/>
    <w:rsid w:val="00B30C3E"/>
    <w:pPr>
      <w:spacing w:after="100"/>
      <w:ind w:left="1200"/>
    </w:pPr>
  </w:style>
  <w:style w:type="paragraph" w:styleId="TOC8">
    <w:name w:val="toc 8"/>
    <w:basedOn w:val="Normal"/>
    <w:next w:val="Normal"/>
    <w:autoRedefine/>
    <w:rsid w:val="00B30C3E"/>
    <w:pPr>
      <w:spacing w:after="100"/>
      <w:ind w:left="1400"/>
    </w:pPr>
  </w:style>
  <w:style w:type="paragraph" w:styleId="TOC9">
    <w:name w:val="toc 9"/>
    <w:basedOn w:val="Normal"/>
    <w:next w:val="Normal"/>
    <w:autoRedefine/>
    <w:rsid w:val="00B30C3E"/>
    <w:pPr>
      <w:spacing w:after="100"/>
      <w:ind w:left="1600"/>
    </w:pPr>
  </w:style>
  <w:style w:type="paragraph" w:styleId="TOCHeading">
    <w:name w:val="TOC Heading"/>
    <w:basedOn w:val="Heading1"/>
    <w:next w:val="Normal"/>
    <w:uiPriority w:val="39"/>
    <w:semiHidden/>
    <w:unhideWhenUsed/>
    <w:qFormat/>
    <w:rsid w:val="009F1C83"/>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B30C3E"/>
    <w:pPr>
      <w:numPr>
        <w:numId w:val="23"/>
      </w:numPr>
    </w:pPr>
  </w:style>
  <w:style w:type="paragraph" w:styleId="Subtitle">
    <w:name w:val="Subtitle"/>
    <w:basedOn w:val="Normal"/>
    <w:next w:val="Normal"/>
    <w:link w:val="SubtitleChar"/>
    <w:uiPriority w:val="99"/>
    <w:qFormat/>
    <w:rsid w:val="00B30C3E"/>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B30C3E"/>
    <w:rPr>
      <w:i/>
      <w:color w:val="003760"/>
      <w:spacing w:val="15"/>
    </w:rPr>
  </w:style>
  <w:style w:type="paragraph" w:customStyle="1" w:styleId="StyleTitleGeorgiaNotBoldLeft">
    <w:name w:val="Style Title + Georgia Not Bold Left"/>
    <w:basedOn w:val="Title"/>
    <w:qFormat/>
    <w:rsid w:val="00B30C3E"/>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B30C3E"/>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B30C3E"/>
    <w:rPr>
      <w:rFonts w:ascii="Calibri Light" w:hAnsi="Calibri Light"/>
      <w:b/>
      <w:bCs/>
      <w:kern w:val="28"/>
      <w:sz w:val="32"/>
      <w:szCs w:val="32"/>
    </w:rPr>
  </w:style>
  <w:style w:type="character" w:customStyle="1" w:styleId="Heading3Char">
    <w:name w:val="Heading 3 Char"/>
    <w:link w:val="Heading3"/>
    <w:uiPriority w:val="9"/>
    <w:rsid w:val="00B30C3E"/>
    <w:rPr>
      <w:rFonts w:ascii="Arial" w:hAnsi="Arial"/>
      <w:b/>
      <w:bCs/>
      <w:i/>
      <w:color w:val="CF4520"/>
      <w:sz w:val="24"/>
      <w:szCs w:val="24"/>
    </w:rPr>
  </w:style>
  <w:style w:type="character" w:customStyle="1" w:styleId="Heading4Char">
    <w:name w:val="Heading 4 Char"/>
    <w:link w:val="Heading4"/>
    <w:uiPriority w:val="9"/>
    <w:rsid w:val="00B30C3E"/>
    <w:rPr>
      <w:rFonts w:ascii="Arial" w:hAnsi="Arial"/>
      <w:b/>
      <w:bCs/>
      <w:i/>
      <w:iCs/>
      <w:szCs w:val="24"/>
    </w:rPr>
  </w:style>
  <w:style w:type="paragraph" w:customStyle="1" w:styleId="Bullet">
    <w:name w:val="Bullet"/>
    <w:basedOn w:val="ListParagraph"/>
    <w:qFormat/>
    <w:rsid w:val="00B30C3E"/>
    <w:pPr>
      <w:tabs>
        <w:tab w:val="left" w:pos="567"/>
        <w:tab w:val="num" w:pos="720"/>
      </w:tabs>
      <w:ind w:hanging="720"/>
      <w:jc w:val="left"/>
    </w:pPr>
  </w:style>
  <w:style w:type="paragraph" w:styleId="ListParagraph">
    <w:name w:val="List Paragraph"/>
    <w:basedOn w:val="Normal"/>
    <w:uiPriority w:val="34"/>
    <w:qFormat/>
    <w:rsid w:val="00B30C3E"/>
    <w:pPr>
      <w:spacing w:after="0"/>
      <w:ind w:left="720"/>
    </w:pPr>
  </w:style>
  <w:style w:type="paragraph" w:customStyle="1" w:styleId="Bullet2">
    <w:name w:val="Bullet 2"/>
    <w:basedOn w:val="Normal"/>
    <w:rsid w:val="00B30C3E"/>
    <w:pPr>
      <w:numPr>
        <w:numId w:val="27"/>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80</TotalTime>
  <Pages>4</Pages>
  <Words>1284</Words>
  <Characters>7900</Characters>
  <Application>Microsoft Office Word</Application>
  <DocSecurity>0</DocSecurity>
  <Lines>207</Lines>
  <Paragraphs>122</Paragraphs>
  <ScaleCrop>false</ScaleCrop>
  <HeadingPairs>
    <vt:vector size="2" baseType="variant">
      <vt:variant>
        <vt:lpstr>Title</vt:lpstr>
      </vt:variant>
      <vt:variant>
        <vt:i4>1</vt:i4>
      </vt:variant>
    </vt:vector>
  </HeadingPairs>
  <TitlesOfParts>
    <vt:vector size="1" baseType="lpstr">
      <vt:lpstr>MSR-CHECKLIST-FACRR</vt:lpstr>
    </vt:vector>
  </TitlesOfParts>
  <Manager>CASG</Manager>
  <Company>Defence</Company>
  <LinksUpToDate>false</LinksUpToDate>
  <CharactersWithSpaces>9062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MSR-CHECKLIST-FACRR</dc:title>
  <dc:subject>Facilities Readiness Review</dc:subject>
  <dc:creator>ASDEFCON SOW Policy</dc:creator>
  <cp:keywords>Facilities, checklist</cp:keywords>
  <cp:lastModifiedBy>DAE2-</cp:lastModifiedBy>
  <cp:revision>46</cp:revision>
  <cp:lastPrinted>2001-04-29T05:26:00Z</cp:lastPrinted>
  <dcterms:created xsi:type="dcterms:W3CDTF">2018-02-20T22:55:00Z</dcterms:created>
  <dcterms:modified xsi:type="dcterms:W3CDTF">2024-08-20T04:09:00Z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BM78947977</vt:lpwstr>
  </property>
  <property fmtid="{D5CDD505-2E9C-101B-9397-08002B2CF9AE}" pid="4" name="Objective-Title">
    <vt:lpwstr>13 MSR-CHECKLIST-FACRR-V5.3</vt:lpwstr>
  </property>
  <property fmtid="{D5CDD505-2E9C-101B-9397-08002B2CF9AE}" pid="5" name="Objective-Comment">
    <vt:lpwstr/>
  </property>
  <property fmtid="{D5CDD505-2E9C-101B-9397-08002B2CF9AE}" pid="6" name="Objective-CreationStamp">
    <vt:filetime>2024-08-20T03:52:02Z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2024-08-20T04:05:42Z</vt:filetime>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2" name="Objective-Parent">
    <vt:lpwstr>06 Checklists</vt:lpwstr>
  </property>
  <property fmtid="{D5CDD505-2E9C-101B-9397-08002B2CF9AE}" pid="13" name="Objective-State">
    <vt:lpwstr>Being Edited</vt:lpwstr>
  </property>
  <property fmtid="{D5CDD505-2E9C-101B-9397-08002B2CF9AE}" pid="14" name="Objective-Version">
    <vt:lpwstr>1.1</vt:lpwstr>
  </property>
  <property fmtid="{D5CDD505-2E9C-101B-9397-08002B2CF9AE}" pid="15" name="Objective-VersionNumber">
    <vt:i4>2</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[Inherited - 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Classification">
    <vt:lpwstr>OFFICIAL</vt:lpwstr>
  </property>
  <property fmtid="{D5CDD505-2E9C-101B-9397-08002B2CF9AE}" pid="22" name="Header_Left">
    <vt:lpwstr>ASDEFCON (Strategic Materiel)</vt:lpwstr>
  </property>
  <property fmtid="{D5CDD505-2E9C-101B-9397-08002B2CF9AE}" pid="23" name="Objective-Owner">
    <vt:lpwstr>Edgelow, Dave Mr</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