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21FB6" w14:textId="6AF4B3FA" w:rsidR="002A237D" w:rsidRDefault="0038190D" w:rsidP="008A2FCA">
      <w:pPr>
        <w:pStyle w:val="ASDEFCONTitle"/>
      </w:pPr>
      <w:bookmarkStart w:id="0" w:name="_GoBack"/>
      <w:bookmarkEnd w:id="0"/>
      <w:r>
        <w:t xml:space="preserve">DEFENCE </w:t>
      </w:r>
      <w:r w:rsidR="00E52D18">
        <w:t xml:space="preserve">Industry </w:t>
      </w:r>
      <w:r>
        <w:t xml:space="preserve">PARTICIPATION </w:t>
      </w:r>
      <w:r w:rsidR="00E52D18">
        <w:t>(</w:t>
      </w:r>
      <w:r w:rsidR="006E36DD">
        <w:t>Optional</w:t>
      </w:r>
      <w:r w:rsidR="00E52D18">
        <w:t>)</w:t>
      </w:r>
    </w:p>
    <w:p w14:paraId="5A38B2E5" w14:textId="29278E9C" w:rsidR="002A34A3" w:rsidRDefault="00954F45" w:rsidP="008B477E">
      <w:pPr>
        <w:pStyle w:val="NoteToDrafters-ASDEFCON"/>
      </w:pPr>
      <w:r>
        <w:t xml:space="preserve">Note to drafters:  </w:t>
      </w:r>
      <w:r w:rsidR="006E36DD">
        <w:t>This Attachment is to be included when</w:t>
      </w:r>
      <w:r w:rsidR="00AA5C0B">
        <w:t xml:space="preserve"> </w:t>
      </w:r>
      <w:r w:rsidR="006E36DD">
        <w:t xml:space="preserve">the Contract is to include an </w:t>
      </w:r>
      <w:r w:rsidR="007B7A91">
        <w:t>DIP</w:t>
      </w:r>
      <w:r w:rsidR="006E36DD">
        <w:t xml:space="preserve"> program</w:t>
      </w:r>
      <w:r w:rsidR="00AA5C0B">
        <w:t xml:space="preserve"> (ie</w:t>
      </w:r>
      <w:r w:rsidR="006E36DD">
        <w:t xml:space="preserve">, the value </w:t>
      </w:r>
      <w:r w:rsidR="008B477E">
        <w:t>of</w:t>
      </w:r>
      <w:r w:rsidR="002B5CBA">
        <w:t xml:space="preserve"> the Contract (including Recurring Services and Milestone Payments)</w:t>
      </w:r>
      <w:r w:rsidR="00D01390">
        <w:t xml:space="preserve"> </w:t>
      </w:r>
      <w:r w:rsidR="008B477E">
        <w:t xml:space="preserve"> for</w:t>
      </w:r>
      <w:r w:rsidR="006E36DD">
        <w:t xml:space="preserve"> the Initial Term</w:t>
      </w:r>
      <w:r w:rsidR="00AA5C0B">
        <w:t xml:space="preserve"> is likely to exceed A$4</w:t>
      </w:r>
      <w:r w:rsidR="008B477E">
        <w:t xml:space="preserve">m, including GST, and </w:t>
      </w:r>
      <w:r w:rsidR="00AA5C0B">
        <w:t>an</w:t>
      </w:r>
      <w:r w:rsidR="008B477E">
        <w:t xml:space="preserve"> exemption </w:t>
      </w:r>
      <w:r w:rsidR="00AA5C0B">
        <w:t xml:space="preserve">has not been </w:t>
      </w:r>
      <w:r w:rsidR="00A6681E">
        <w:t xml:space="preserve">approved </w:t>
      </w:r>
      <w:r w:rsidR="00AA5C0B">
        <w:t>– refer to the Defence Policy for Industry Participation 2019 regarding exemptions).</w:t>
      </w:r>
      <w:r w:rsidR="00677894">
        <w:t xml:space="preserve"> </w:t>
      </w:r>
      <w:r w:rsidR="008B477E">
        <w:t xml:space="preserve">If this Attachment is not required, it may be deleted or annotated as </w:t>
      </w:r>
      <w:r w:rsidR="00193A44">
        <w:t>‘Not used’.</w:t>
      </w:r>
    </w:p>
    <w:p w14:paraId="01FD50CD" w14:textId="6F5F9A86" w:rsidR="006E6E31" w:rsidRPr="00677894" w:rsidRDefault="00677894" w:rsidP="00677894">
      <w:pPr>
        <w:pStyle w:val="NoteToTenderers-ASDEFCON"/>
      </w:pPr>
      <w:r>
        <w:t xml:space="preserve">Note to Tenderers:  </w:t>
      </w:r>
      <w:r w:rsidRPr="00267C2C">
        <w:t xml:space="preserve">Attachment </w:t>
      </w:r>
      <w:r>
        <w:t>J</w:t>
      </w:r>
      <w:r w:rsidRPr="00267C2C">
        <w:t xml:space="preserve"> </w:t>
      </w:r>
      <w:r>
        <w:t>will consist of the successful tenderer’s response to Table G-1 at Annex G to Attachment A to the Conditions of Tender and any negotiated changes</w:t>
      </w:r>
      <w:r w:rsidR="006238B6">
        <w:t>.</w:t>
      </w:r>
    </w:p>
    <w:sectPr w:rsidR="006E6E31" w:rsidRPr="00677894" w:rsidSect="006778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18" w:right="1304" w:bottom="1418" w:left="680" w:header="567" w:footer="283" w:gutter="0"/>
      <w:paperSrc w:first="7" w:other="7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D6CF6" w16cex:dateUtc="2023-06-21T02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36A642" w16cid:durableId="283D6C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34608" w14:textId="77777777" w:rsidR="00F148F2" w:rsidRDefault="00F148F2">
      <w:pPr>
        <w:spacing w:after="0"/>
      </w:pPr>
      <w:r>
        <w:separator/>
      </w:r>
    </w:p>
  </w:endnote>
  <w:endnote w:type="continuationSeparator" w:id="0">
    <w:p w14:paraId="42BBC30F" w14:textId="77777777" w:rsidR="00F148F2" w:rsidRDefault="00F148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C1CA0" w14:textId="77777777" w:rsidR="000B5C25" w:rsidRDefault="000B5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428"/>
      <w:gridCol w:w="7428"/>
    </w:tblGrid>
    <w:tr w:rsidR="003005F9" w14:paraId="3C3B90EF" w14:textId="77777777" w:rsidTr="008A2FCA">
      <w:tc>
        <w:tcPr>
          <w:tcW w:w="2500" w:type="pct"/>
        </w:tcPr>
        <w:p w14:paraId="3F589EAC" w14:textId="208316BE" w:rsidR="008A2FCA" w:rsidRDefault="00F148F2" w:rsidP="008A2FCA">
          <w:pPr>
            <w:pStyle w:val="ASDEFCONHeaderFooterLeft"/>
          </w:pPr>
          <w:fldSimple w:instr=" DOCPROPERTY Footer_Left ">
            <w:r w:rsidR="00B30CD0">
              <w:t>Attachment to Draft Conditions of Contract</w:t>
            </w:r>
          </w:fldSimple>
          <w:r w:rsidR="00E52D18">
            <w:t xml:space="preserve"> (</w:t>
          </w:r>
          <w:fldSimple w:instr=" DOCPROPERTY Version ">
            <w:r w:rsidR="00B30CD0">
              <w:t>V1.1</w:t>
            </w:r>
          </w:fldSimple>
          <w:r w:rsidR="00E52D18">
            <w:t>)</w:t>
          </w:r>
        </w:p>
      </w:tc>
      <w:tc>
        <w:tcPr>
          <w:tcW w:w="2500" w:type="pct"/>
        </w:tcPr>
        <w:p w14:paraId="45CBF324" w14:textId="25F98767" w:rsidR="008A2FCA" w:rsidRDefault="00DB4F3E" w:rsidP="008A2FCA">
          <w:pPr>
            <w:pStyle w:val="ASDEFCONHeaderFooterRight"/>
          </w:pPr>
          <w:r>
            <w:t>J</w:t>
          </w:r>
          <w:r w:rsidR="00E52D18">
            <w:t>-</w:t>
          </w:r>
          <w:r w:rsidR="00E52D18" w:rsidRPr="008A2FCA">
            <w:fldChar w:fldCharType="begin"/>
          </w:r>
          <w:r w:rsidR="00E52D18" w:rsidRPr="008A2FCA">
            <w:instrText xml:space="preserve"> PAGE </w:instrText>
          </w:r>
          <w:r w:rsidR="00E52D18" w:rsidRPr="008A2FCA">
            <w:fldChar w:fldCharType="separate"/>
          </w:r>
          <w:r w:rsidR="00B30CD0">
            <w:rPr>
              <w:noProof/>
            </w:rPr>
            <w:t>1</w:t>
          </w:r>
          <w:r w:rsidR="00E52D18" w:rsidRPr="008A2FCA">
            <w:fldChar w:fldCharType="end"/>
          </w:r>
        </w:p>
      </w:tc>
    </w:tr>
    <w:tr w:rsidR="003005F9" w14:paraId="6632FF50" w14:textId="77777777" w:rsidTr="008A2FCA">
      <w:tc>
        <w:tcPr>
          <w:tcW w:w="5000" w:type="pct"/>
          <w:gridSpan w:val="2"/>
        </w:tcPr>
        <w:p w14:paraId="5433E708" w14:textId="234FE600" w:rsidR="008A2FCA" w:rsidRDefault="00F148F2" w:rsidP="008A2FCA">
          <w:pPr>
            <w:pStyle w:val="ASDEFCONHeaderFooterClassification"/>
          </w:pPr>
          <w:fldSimple w:instr=" DOCPROPERTY Classification ">
            <w:r w:rsidR="00B30CD0">
              <w:t>OFFICIAL</w:t>
            </w:r>
          </w:fldSimple>
        </w:p>
      </w:tc>
    </w:tr>
  </w:tbl>
  <w:p w14:paraId="4D797EFF" w14:textId="77777777" w:rsidR="0037282A" w:rsidRPr="008A2FCA" w:rsidRDefault="00B30CD0" w:rsidP="008A2FCA">
    <w:pPr>
      <w:pStyle w:val="Foo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4E9A3" w14:textId="77777777" w:rsidR="000B5C25" w:rsidRDefault="000B5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BEF1B" w14:textId="77777777" w:rsidR="00F148F2" w:rsidRDefault="00F148F2">
      <w:pPr>
        <w:spacing w:after="0"/>
      </w:pPr>
      <w:r>
        <w:separator/>
      </w:r>
    </w:p>
  </w:footnote>
  <w:footnote w:type="continuationSeparator" w:id="0">
    <w:p w14:paraId="688D0A7E" w14:textId="77777777" w:rsidR="00F148F2" w:rsidRDefault="00F148F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A1BB4" w14:textId="77777777" w:rsidR="000B5C25" w:rsidRDefault="000B5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428"/>
      <w:gridCol w:w="7428"/>
    </w:tblGrid>
    <w:tr w:rsidR="00D86B00" w14:paraId="2AC6C39A" w14:textId="77777777" w:rsidTr="00D86B00">
      <w:tc>
        <w:tcPr>
          <w:tcW w:w="5000" w:type="pct"/>
          <w:gridSpan w:val="2"/>
        </w:tcPr>
        <w:p w14:paraId="7EE4CE2E" w14:textId="29D917EA" w:rsidR="00D86B00" w:rsidRDefault="00F148F2" w:rsidP="00D86B00">
          <w:pPr>
            <w:pStyle w:val="ASDEFCONHeaderFooterClassification"/>
          </w:pPr>
          <w:fldSimple w:instr=" DOCPROPERTY Classification ">
            <w:r w:rsidR="00B30CD0">
              <w:t>OFFICIAL</w:t>
            </w:r>
          </w:fldSimple>
        </w:p>
      </w:tc>
    </w:tr>
    <w:tr w:rsidR="00D86B00" w14:paraId="0E90C78E" w14:textId="77777777" w:rsidTr="00D86B00">
      <w:tc>
        <w:tcPr>
          <w:tcW w:w="2500" w:type="pct"/>
        </w:tcPr>
        <w:p w14:paraId="264AAC36" w14:textId="62BF6781" w:rsidR="00D86B00" w:rsidRDefault="00F148F2" w:rsidP="00D86B00">
          <w:pPr>
            <w:pStyle w:val="ASDEFCONHeaderFooterLeft"/>
          </w:pPr>
          <w:fldSimple w:instr=" DOCPROPERTY Header_Left ">
            <w:r w:rsidR="00B30CD0">
              <w:t>ASDEFCON (Complex Services)</w:t>
            </w:r>
          </w:fldSimple>
        </w:p>
      </w:tc>
      <w:tc>
        <w:tcPr>
          <w:tcW w:w="2500" w:type="pct"/>
        </w:tcPr>
        <w:p w14:paraId="19BD4F1D" w14:textId="6CEE20D6" w:rsidR="00D86B00" w:rsidRDefault="00F148F2" w:rsidP="00D86B00">
          <w:pPr>
            <w:pStyle w:val="ASDEFCONHeaderFooterRight"/>
          </w:pPr>
          <w:fldSimple w:instr=" DOCPROPERTY Header_Right ">
            <w:r w:rsidR="00B30CD0">
              <w:t>Part 2</w:t>
            </w:r>
          </w:fldSimple>
        </w:p>
      </w:tc>
    </w:tr>
  </w:tbl>
  <w:p w14:paraId="518661CB" w14:textId="2AE2DC65" w:rsidR="0037282A" w:rsidRPr="00D86B00" w:rsidRDefault="00B51C87" w:rsidP="00834D44">
    <w:pPr>
      <w:pStyle w:val="ASDEFCONHeaderFooterClassification"/>
    </w:pPr>
    <w:r>
      <w:t xml:space="preserve">Attachment </w:t>
    </w:r>
    <w:r w:rsidR="00ED1C65">
      <w:t>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F3D43" w14:textId="77777777" w:rsidR="000B5C25" w:rsidRDefault="000B5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800FC24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756E88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1AC6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B0A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62B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C2E1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585B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30F3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8CF6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9644385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E49233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4208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F6C6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8A0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27C03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42AD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568D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B1824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0EF8A87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1A302D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D28E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527B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C4CE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4665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D4F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FC77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A688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4266C19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4F4440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9C66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0E3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C652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56EE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3643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04FC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ED4A1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973E940E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44028F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AE2C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8215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94D4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A85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D2DF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C9B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E0C8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77E4EBF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9C81D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50FA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F0F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F080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5CDA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C6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4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62A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F0E655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FCDC21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ACE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0842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8298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E407B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50C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7A12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8A00E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CC749F"/>
    <w:multiLevelType w:val="hybridMultilevel"/>
    <w:tmpl w:val="D800FA5E"/>
    <w:lvl w:ilvl="0" w:tplc="DC042AD2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494E9A74" w:tentative="1">
      <w:start w:val="1"/>
      <w:numFmt w:val="lowerLetter"/>
      <w:lvlText w:val="%2."/>
      <w:lvlJc w:val="left"/>
      <w:pPr>
        <w:ind w:left="3240" w:hanging="360"/>
      </w:pPr>
    </w:lvl>
    <w:lvl w:ilvl="2" w:tplc="FD80A262" w:tentative="1">
      <w:start w:val="1"/>
      <w:numFmt w:val="lowerRoman"/>
      <w:lvlText w:val="%3."/>
      <w:lvlJc w:val="right"/>
      <w:pPr>
        <w:ind w:left="3960" w:hanging="180"/>
      </w:pPr>
    </w:lvl>
    <w:lvl w:ilvl="3" w:tplc="27042D62" w:tentative="1">
      <w:start w:val="1"/>
      <w:numFmt w:val="decimal"/>
      <w:lvlText w:val="%4."/>
      <w:lvlJc w:val="left"/>
      <w:pPr>
        <w:ind w:left="4680" w:hanging="360"/>
      </w:pPr>
    </w:lvl>
    <w:lvl w:ilvl="4" w:tplc="844E41BC" w:tentative="1">
      <w:start w:val="1"/>
      <w:numFmt w:val="lowerLetter"/>
      <w:lvlText w:val="%5."/>
      <w:lvlJc w:val="left"/>
      <w:pPr>
        <w:ind w:left="5400" w:hanging="360"/>
      </w:pPr>
    </w:lvl>
    <w:lvl w:ilvl="5" w:tplc="576078EA" w:tentative="1">
      <w:start w:val="1"/>
      <w:numFmt w:val="lowerRoman"/>
      <w:lvlText w:val="%6."/>
      <w:lvlJc w:val="right"/>
      <w:pPr>
        <w:ind w:left="6120" w:hanging="180"/>
      </w:pPr>
    </w:lvl>
    <w:lvl w:ilvl="6" w:tplc="35B49F12" w:tentative="1">
      <w:start w:val="1"/>
      <w:numFmt w:val="decimal"/>
      <w:lvlText w:val="%7."/>
      <w:lvlJc w:val="left"/>
      <w:pPr>
        <w:ind w:left="6840" w:hanging="360"/>
      </w:pPr>
    </w:lvl>
    <w:lvl w:ilvl="7" w:tplc="EF5E9878" w:tentative="1">
      <w:start w:val="1"/>
      <w:numFmt w:val="lowerLetter"/>
      <w:lvlText w:val="%8."/>
      <w:lvlJc w:val="left"/>
      <w:pPr>
        <w:ind w:left="7560" w:hanging="360"/>
      </w:pPr>
    </w:lvl>
    <w:lvl w:ilvl="8" w:tplc="C83EA0EC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7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19"/>
  </w:num>
  <w:num w:numId="8">
    <w:abstractNumId w:val="1"/>
  </w:num>
  <w:num w:numId="9">
    <w:abstractNumId w:val="25"/>
  </w:num>
  <w:num w:numId="10">
    <w:abstractNumId w:val="8"/>
  </w:num>
  <w:num w:numId="11">
    <w:abstractNumId w:val="29"/>
  </w:num>
  <w:num w:numId="12">
    <w:abstractNumId w:val="38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36"/>
  </w:num>
  <w:num w:numId="19">
    <w:abstractNumId w:val="42"/>
  </w:num>
  <w:num w:numId="20">
    <w:abstractNumId w:val="12"/>
  </w:num>
  <w:num w:numId="21">
    <w:abstractNumId w:val="15"/>
  </w:num>
  <w:num w:numId="22">
    <w:abstractNumId w:val="39"/>
  </w:num>
  <w:num w:numId="23">
    <w:abstractNumId w:val="23"/>
  </w:num>
  <w:num w:numId="24">
    <w:abstractNumId w:val="30"/>
  </w:num>
  <w:num w:numId="25">
    <w:abstractNumId w:val="44"/>
  </w:num>
  <w:num w:numId="26">
    <w:abstractNumId w:val="16"/>
  </w:num>
  <w:num w:numId="27">
    <w:abstractNumId w:val="20"/>
  </w:num>
  <w:num w:numId="28">
    <w:abstractNumId w:val="46"/>
  </w:num>
  <w:num w:numId="29">
    <w:abstractNumId w:val="11"/>
  </w:num>
  <w:num w:numId="30">
    <w:abstractNumId w:val="9"/>
  </w:num>
  <w:num w:numId="31">
    <w:abstractNumId w:val="2"/>
  </w:num>
  <w:num w:numId="32">
    <w:abstractNumId w:val="6"/>
  </w:num>
  <w:num w:numId="33">
    <w:abstractNumId w:val="18"/>
  </w:num>
  <w:num w:numId="34">
    <w:abstractNumId w:val="0"/>
  </w:num>
  <w:num w:numId="35">
    <w:abstractNumId w:val="26"/>
  </w:num>
  <w:num w:numId="36">
    <w:abstractNumId w:val="41"/>
  </w:num>
  <w:num w:numId="37">
    <w:abstractNumId w:val="37"/>
  </w:num>
  <w:num w:numId="38">
    <w:abstractNumId w:val="42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7"/>
  </w:num>
  <w:num w:numId="42">
    <w:abstractNumId w:val="45"/>
  </w:num>
  <w:num w:numId="43">
    <w:abstractNumId w:val="17"/>
  </w:num>
  <w:num w:numId="44">
    <w:abstractNumId w:val="28"/>
  </w:num>
  <w:num w:numId="45">
    <w:abstractNumId w:val="10"/>
  </w:num>
  <w:num w:numId="46">
    <w:abstractNumId w:val="4"/>
  </w:num>
  <w:num w:numId="47">
    <w:abstractNumId w:val="32"/>
  </w:num>
  <w:num w:numId="48">
    <w:abstractNumId w:val="21"/>
  </w:num>
  <w:num w:numId="49">
    <w:abstractNumId w:val="34"/>
  </w:num>
  <w:num w:numId="50">
    <w:abstractNumId w:val="36"/>
  </w:num>
  <w:num w:numId="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9"/>
  </w:num>
  <w:num w:numId="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5F9"/>
    <w:rsid w:val="000B5C25"/>
    <w:rsid w:val="00124592"/>
    <w:rsid w:val="00193572"/>
    <w:rsid w:val="00193A44"/>
    <w:rsid w:val="001B26C6"/>
    <w:rsid w:val="002146CB"/>
    <w:rsid w:val="002476C4"/>
    <w:rsid w:val="00265BDE"/>
    <w:rsid w:val="00287CFA"/>
    <w:rsid w:val="002A34A3"/>
    <w:rsid w:val="002B5CBA"/>
    <w:rsid w:val="002C4035"/>
    <w:rsid w:val="003005F9"/>
    <w:rsid w:val="0038190D"/>
    <w:rsid w:val="003C4AD8"/>
    <w:rsid w:val="00441909"/>
    <w:rsid w:val="004B6848"/>
    <w:rsid w:val="004D5452"/>
    <w:rsid w:val="004E79C1"/>
    <w:rsid w:val="004F19E4"/>
    <w:rsid w:val="00517FBC"/>
    <w:rsid w:val="00544651"/>
    <w:rsid w:val="006238B6"/>
    <w:rsid w:val="00631CAD"/>
    <w:rsid w:val="00677894"/>
    <w:rsid w:val="0068553E"/>
    <w:rsid w:val="006A798E"/>
    <w:rsid w:val="006E36DD"/>
    <w:rsid w:val="006E6E31"/>
    <w:rsid w:val="007345AA"/>
    <w:rsid w:val="007375E0"/>
    <w:rsid w:val="007410A6"/>
    <w:rsid w:val="007626A4"/>
    <w:rsid w:val="00786D5B"/>
    <w:rsid w:val="0079542E"/>
    <w:rsid w:val="007B7A91"/>
    <w:rsid w:val="007E7E32"/>
    <w:rsid w:val="00816124"/>
    <w:rsid w:val="00816668"/>
    <w:rsid w:val="00834D44"/>
    <w:rsid w:val="008765FB"/>
    <w:rsid w:val="0088435C"/>
    <w:rsid w:val="008B477E"/>
    <w:rsid w:val="00914C13"/>
    <w:rsid w:val="00931348"/>
    <w:rsid w:val="009315A7"/>
    <w:rsid w:val="00954F45"/>
    <w:rsid w:val="00962CC0"/>
    <w:rsid w:val="00985970"/>
    <w:rsid w:val="009D20B2"/>
    <w:rsid w:val="009E307D"/>
    <w:rsid w:val="00A33D6E"/>
    <w:rsid w:val="00A427AD"/>
    <w:rsid w:val="00A6681E"/>
    <w:rsid w:val="00AA5C0B"/>
    <w:rsid w:val="00AB5D60"/>
    <w:rsid w:val="00B2173A"/>
    <w:rsid w:val="00B30CD0"/>
    <w:rsid w:val="00B31C9F"/>
    <w:rsid w:val="00B51C87"/>
    <w:rsid w:val="00BE5BFE"/>
    <w:rsid w:val="00C54F67"/>
    <w:rsid w:val="00C6790D"/>
    <w:rsid w:val="00CD0DDD"/>
    <w:rsid w:val="00D01390"/>
    <w:rsid w:val="00D629EC"/>
    <w:rsid w:val="00D86B00"/>
    <w:rsid w:val="00DB03D7"/>
    <w:rsid w:val="00DB4F3E"/>
    <w:rsid w:val="00DE3846"/>
    <w:rsid w:val="00E25EEE"/>
    <w:rsid w:val="00E52D18"/>
    <w:rsid w:val="00EA4A1A"/>
    <w:rsid w:val="00EC015B"/>
    <w:rsid w:val="00ED1C65"/>
    <w:rsid w:val="00EF53A4"/>
    <w:rsid w:val="00F148F2"/>
    <w:rsid w:val="00FC023C"/>
    <w:rsid w:val="00FD3518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65E8DE9"/>
  <w15:docId w15:val="{AD69AE00-809B-483D-BF0F-26141AA5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CD0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B30CD0"/>
    <w:pPr>
      <w:keepNext/>
      <w:numPr>
        <w:numId w:val="2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"/>
    <w:basedOn w:val="Normal"/>
    <w:next w:val="Normal"/>
    <w:link w:val="Heading2Char"/>
    <w:unhideWhenUsed/>
    <w:qFormat/>
    <w:rsid w:val="00B30CD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uiPriority w:val="9"/>
    <w:qFormat/>
    <w:rsid w:val="00871358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uiPriority w:val="9"/>
    <w:qFormat/>
    <w:rsid w:val="00871358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871358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871358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871358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871358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71358"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B30CD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30CD0"/>
  </w:style>
  <w:style w:type="character" w:customStyle="1" w:styleId="Heading2Char">
    <w:name w:val="Heading 2 Char"/>
    <w:aliases w:val="Para2 Char"/>
    <w:link w:val="Heading2"/>
    <w:rsid w:val="00B30CD0"/>
    <w:rPr>
      <w:rFonts w:ascii="Cambria" w:hAnsi="Cambria"/>
      <w:b/>
      <w:bCs/>
      <w:color w:val="4F81BD"/>
      <w:sz w:val="26"/>
      <w:szCs w:val="26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right" w:pos="9090"/>
      </w:tabs>
      <w:spacing w:after="0"/>
      <w:jc w:val="left"/>
    </w:pPr>
    <w:rPr>
      <w:sz w:val="16"/>
      <w:lang w:val="en-US"/>
    </w:rPr>
  </w:style>
  <w:style w:type="paragraph" w:styleId="Header">
    <w:name w:val="header"/>
    <w:basedOn w:val="Normal"/>
    <w:pPr>
      <w:tabs>
        <w:tab w:val="right" w:pos="9090"/>
      </w:tabs>
      <w:spacing w:after="0"/>
      <w:ind w:left="864" w:hanging="864"/>
      <w:jc w:val="left"/>
    </w:pPr>
    <w:rPr>
      <w:sz w:val="16"/>
      <w:lang w:val="en-US"/>
    </w:rPr>
  </w:style>
  <w:style w:type="paragraph" w:styleId="TOC1">
    <w:name w:val="toc 1"/>
    <w:next w:val="ASDEFCONNormal"/>
    <w:autoRedefine/>
    <w:uiPriority w:val="39"/>
    <w:rsid w:val="00B30CD0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B30CD0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B30CD0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B30CD0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B30CD0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B30CD0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B30CD0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B30CD0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B30CD0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B30CD0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B30CD0"/>
    <w:pPr>
      <w:spacing w:after="100"/>
      <w:ind w:left="1600"/>
    </w:pPr>
  </w:style>
  <w:style w:type="table" w:styleId="TableGrid">
    <w:name w:val="Table Grid"/>
    <w:basedOn w:val="TableNormal"/>
    <w:rsid w:val="00871358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871358"/>
  </w:style>
  <w:style w:type="paragraph" w:customStyle="1" w:styleId="Style1">
    <w:name w:val="Style1"/>
    <w:basedOn w:val="Heading4"/>
    <w:rsid w:val="00871358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871358"/>
    <w:rPr>
      <w:szCs w:val="20"/>
    </w:rPr>
  </w:style>
  <w:style w:type="paragraph" w:styleId="BalloonText">
    <w:name w:val="Balloon Text"/>
    <w:basedOn w:val="Normal"/>
    <w:autoRedefine/>
    <w:rsid w:val="00AE0E97"/>
    <w:rPr>
      <w:rFonts w:ascii="Times New Roman" w:hAnsi="Times New Roman"/>
      <w:sz w:val="24"/>
      <w:szCs w:val="20"/>
    </w:rPr>
  </w:style>
  <w:style w:type="character" w:styleId="CommentReference">
    <w:name w:val="annotation reference"/>
    <w:semiHidden/>
    <w:rsid w:val="00AC2B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C2BA7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AB0081"/>
    <w:rPr>
      <w:b/>
      <w:bCs/>
    </w:rPr>
  </w:style>
  <w:style w:type="paragraph" w:customStyle="1" w:styleId="COTCOCLV2-ASDEFCON">
    <w:name w:val="COT/COC LV2 - ASDEFCON"/>
    <w:basedOn w:val="ASDEFCONNormal"/>
    <w:next w:val="COTCOCLV3-ASDEFCON"/>
    <w:rsid w:val="00B30CD0"/>
    <w:pPr>
      <w:keepNext/>
      <w:keepLines/>
      <w:numPr>
        <w:ilvl w:val="1"/>
        <w:numId w:val="18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B30CD0"/>
    <w:pPr>
      <w:numPr>
        <w:ilvl w:val="2"/>
        <w:numId w:val="18"/>
      </w:numPr>
    </w:pPr>
  </w:style>
  <w:style w:type="paragraph" w:customStyle="1" w:styleId="COTCOCLV1-ASDEFCON">
    <w:name w:val="COT/COC LV1 - ASDEFCON"/>
    <w:basedOn w:val="ASDEFCONNormal"/>
    <w:next w:val="COTCOCLV2-ASDEFCON"/>
    <w:rsid w:val="00B30CD0"/>
    <w:pPr>
      <w:keepNext/>
      <w:keepLines/>
      <w:numPr>
        <w:numId w:val="1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B30CD0"/>
    <w:pPr>
      <w:numPr>
        <w:ilvl w:val="3"/>
        <w:numId w:val="18"/>
      </w:numPr>
    </w:pPr>
  </w:style>
  <w:style w:type="paragraph" w:customStyle="1" w:styleId="COTCOCLV5-ASDEFCON">
    <w:name w:val="COT/COC LV5 - ASDEFCON"/>
    <w:basedOn w:val="ASDEFCONNormal"/>
    <w:rsid w:val="00B30CD0"/>
    <w:pPr>
      <w:numPr>
        <w:ilvl w:val="4"/>
        <w:numId w:val="18"/>
      </w:numPr>
    </w:pPr>
  </w:style>
  <w:style w:type="paragraph" w:customStyle="1" w:styleId="COTCOCLV6-ASDEFCON">
    <w:name w:val="COT/COC LV6 - ASDEFCON"/>
    <w:basedOn w:val="ASDEFCONNormal"/>
    <w:rsid w:val="00B30CD0"/>
    <w:pPr>
      <w:keepLines/>
      <w:numPr>
        <w:ilvl w:val="5"/>
        <w:numId w:val="18"/>
      </w:numPr>
    </w:pPr>
  </w:style>
  <w:style w:type="paragraph" w:customStyle="1" w:styleId="ASDEFCONOption">
    <w:name w:val="ASDEFCON Option"/>
    <w:basedOn w:val="ASDEFCONNormal"/>
    <w:rsid w:val="00B30CD0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B30CD0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B30CD0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B30CD0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B30CD0"/>
    <w:pPr>
      <w:keepNext/>
      <w:keepLines/>
      <w:numPr>
        <w:numId w:val="1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B30CD0"/>
    <w:pPr>
      <w:numPr>
        <w:ilvl w:val="1"/>
        <w:numId w:val="1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B30CD0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B30CD0"/>
    <w:pPr>
      <w:numPr>
        <w:ilvl w:val="2"/>
        <w:numId w:val="1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B30CD0"/>
    <w:pPr>
      <w:numPr>
        <w:ilvl w:val="3"/>
        <w:numId w:val="19"/>
      </w:numPr>
    </w:pPr>
    <w:rPr>
      <w:szCs w:val="24"/>
    </w:rPr>
  </w:style>
  <w:style w:type="paragraph" w:customStyle="1" w:styleId="ASDEFCONCoverTitle">
    <w:name w:val="ASDEFCON Cover Title"/>
    <w:rsid w:val="00B30CD0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B30CD0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B30CD0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B30CD0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B30CD0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B30CD0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B30CD0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B30CD0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B30CD0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B30CD0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B30CD0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B30CD0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B30CD0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B30CD0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B30CD0"/>
    <w:pPr>
      <w:numPr>
        <w:numId w:val="2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B30CD0"/>
    <w:pPr>
      <w:numPr>
        <w:numId w:val="2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B30CD0"/>
    <w:pPr>
      <w:numPr>
        <w:numId w:val="2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B30CD0"/>
    <w:pPr>
      <w:numPr>
        <w:numId w:val="2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B30CD0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B30CD0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B30CD0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B30CD0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B30CD0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B30CD0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B30CD0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B30CD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B30CD0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B30CD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B30CD0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B30CD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B30CD0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B30CD0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B30CD0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B30CD0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B30CD0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B30CD0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B30CD0"/>
    <w:rPr>
      <w:szCs w:val="20"/>
    </w:rPr>
  </w:style>
  <w:style w:type="paragraph" w:customStyle="1" w:styleId="ASDEFCONTextBlock">
    <w:name w:val="ASDEFCON TextBlock"/>
    <w:basedOn w:val="ASDEFCONNormal"/>
    <w:qFormat/>
    <w:rsid w:val="00B30CD0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B30CD0"/>
    <w:pPr>
      <w:numPr>
        <w:numId w:val="2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B30CD0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B30CD0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B30CD0"/>
    <w:pPr>
      <w:numPr>
        <w:numId w:val="3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B30CD0"/>
    <w:pPr>
      <w:numPr>
        <w:numId w:val="3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B30CD0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B30CD0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B30CD0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link w:val="Table10ptHeading-ASDEFCONChar"/>
    <w:rsid w:val="00B30CD0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B30CD0"/>
    <w:pPr>
      <w:numPr>
        <w:numId w:val="26"/>
      </w:numPr>
    </w:pPr>
  </w:style>
  <w:style w:type="paragraph" w:customStyle="1" w:styleId="Table8ptBP2-ASDEFCON">
    <w:name w:val="Table 8pt BP2 - ASDEFCON"/>
    <w:basedOn w:val="Table8ptText-ASDEFCON"/>
    <w:rsid w:val="00B30CD0"/>
    <w:pPr>
      <w:numPr>
        <w:ilvl w:val="1"/>
        <w:numId w:val="2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B30CD0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B30CD0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B30CD0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B30CD0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B30CD0"/>
    <w:pPr>
      <w:numPr>
        <w:numId w:val="3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B30CD0"/>
    <w:pPr>
      <w:numPr>
        <w:ilvl w:val="1"/>
        <w:numId w:val="3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B30CD0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B30CD0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B30CD0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B30CD0"/>
    <w:pPr>
      <w:numPr>
        <w:numId w:val="3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B30CD0"/>
    <w:pPr>
      <w:numPr>
        <w:ilvl w:val="6"/>
        <w:numId w:val="2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B30CD0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B30CD0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B30CD0"/>
    <w:pPr>
      <w:numPr>
        <w:numId w:val="3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B30CD0"/>
    <w:pPr>
      <w:numPr>
        <w:numId w:val="29"/>
      </w:numPr>
    </w:pPr>
  </w:style>
  <w:style w:type="character" w:customStyle="1" w:styleId="ASDEFCONRecitalsCharChar">
    <w:name w:val="ASDEFCON Recitals Char Char"/>
    <w:link w:val="ASDEFCONRecitals"/>
    <w:rsid w:val="00B30CD0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B30CD0"/>
    <w:pPr>
      <w:numPr>
        <w:numId w:val="3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B30CD0"/>
    <w:pPr>
      <w:numPr>
        <w:numId w:val="31"/>
      </w:numPr>
    </w:pPr>
    <w:rPr>
      <w:b/>
      <w:i/>
    </w:rPr>
  </w:style>
  <w:style w:type="paragraph" w:styleId="Caption">
    <w:name w:val="caption"/>
    <w:basedOn w:val="Normal"/>
    <w:next w:val="Normal"/>
    <w:qFormat/>
    <w:rsid w:val="00B30CD0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B30CD0"/>
    <w:pPr>
      <w:numPr>
        <w:numId w:val="3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B30CD0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B30CD0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B30CD0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B30CD0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B30CD0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B30CD0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B30CD0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B30CD0"/>
    <w:pPr>
      <w:numPr>
        <w:ilvl w:val="1"/>
        <w:numId w:val="36"/>
      </w:numPr>
    </w:pPr>
  </w:style>
  <w:style w:type="character" w:styleId="Hyperlink">
    <w:name w:val="Hyperlink"/>
    <w:uiPriority w:val="99"/>
    <w:unhideWhenUsed/>
    <w:rsid w:val="00B30CD0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B30CD0"/>
    <w:pPr>
      <w:numPr>
        <w:numId w:val="4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285B"/>
    <w:pPr>
      <w:outlineLvl w:val="9"/>
    </w:pPr>
    <w:rPr>
      <w:rFonts w:ascii="Calibri Light" w:hAnsi="Calibri Light" w:cs="Times New Roman"/>
    </w:rPr>
  </w:style>
  <w:style w:type="character" w:customStyle="1" w:styleId="Heading1Char">
    <w:name w:val="Heading 1 Char"/>
    <w:link w:val="Heading1"/>
    <w:locked/>
    <w:rsid w:val="00AA5C0B"/>
    <w:rPr>
      <w:rFonts w:ascii="Arial" w:hAnsi="Arial" w:cs="Arial"/>
      <w:b/>
      <w:bCs/>
      <w:kern w:val="32"/>
      <w:sz w:val="32"/>
      <w:szCs w:val="32"/>
    </w:rPr>
  </w:style>
  <w:style w:type="paragraph" w:styleId="Revision">
    <w:name w:val="Revision"/>
    <w:hidden/>
    <w:uiPriority w:val="99"/>
    <w:semiHidden/>
    <w:rsid w:val="004D5452"/>
    <w:rPr>
      <w:rFonts w:ascii="Arial" w:hAnsi="Arial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2A34A3"/>
    <w:rPr>
      <w:rFonts w:ascii="Arial" w:hAnsi="Arial"/>
    </w:rPr>
  </w:style>
  <w:style w:type="character" w:customStyle="1" w:styleId="Table10ptHeading-ASDEFCONChar">
    <w:name w:val="Table 10pt Heading - ASDEFCON Char"/>
    <w:link w:val="Table10ptHeading-ASDEFCON"/>
    <w:rsid w:val="00E25EEE"/>
    <w:rPr>
      <w:rFonts w:ascii="Arial" w:hAnsi="Arial"/>
      <w:b/>
      <w:color w:val="00000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 A U S _ O N P R E M ! 3 0 4 6 2 7 0 9 1 . 1 < / d o c u m e n t i d >  
     < s e n d e r i d > M H O D G E < / s e n d e r i d >  
     < s e n d e r e m a i l > M A D E L E I N E . H O D G E @ A S H U R S T . C O M < / s e n d e r e m a i l >  
     < l a s t m o d i f i e d > 2 0 2 3 - 0 6 - 2 5 T 1 5 : 5 1 : 0 0 . 0 0 0 0 0 0 0 + 1 0 : 0 0 < / l a s t m o d i f i e d >  
     < d a t a b a s e > A U S _ O N P R E M 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6F64C-5AF6-4031-A77E-F38565F0BD36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FF0A2B2C-E049-4A81-8EB9-D35732826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15</TotalTime>
  <Pages>1</Pages>
  <Words>108</Words>
  <Characters>564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Industry Capability</vt:lpstr>
    </vt:vector>
  </TitlesOfParts>
  <Manager>CASG</Manager>
  <Company>Defence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Industry Capability</dc:title>
  <dc:subject>ASDEFCON (Complex Services)</dc:subject>
  <dc:creator>CPPD</dc:creator>
  <cp:keywords>Australian Industry Capability, AIC</cp:keywords>
  <cp:lastModifiedBy>Laursen, Christian MR</cp:lastModifiedBy>
  <cp:revision>49</cp:revision>
  <dcterms:created xsi:type="dcterms:W3CDTF">2020-09-11T02:07:00Z</dcterms:created>
  <dcterms:modified xsi:type="dcterms:W3CDTF">2024-08-22T05:17:00Z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Footer_Left">
    <vt:lpwstr>Attachment to Draft Conditions of Contract</vt:lpwstr>
  </property>
  <property fmtid="{D5CDD505-2E9C-101B-9397-08002B2CF9AE}" pid="4" name="Header_Left">
    <vt:lpwstr>ASDEFCON (Complex Services)</vt:lpwstr>
  </property>
  <property fmtid="{D5CDD505-2E9C-101B-9397-08002B2CF9AE}" pid="5" name="Header_Right">
    <vt:lpwstr>Part 2</vt:lpwstr>
  </property>
  <property fmtid="{D5CDD505-2E9C-101B-9397-08002B2CF9AE}" pid="6" name="Objective-Caveats">
    <vt:lpwstr/>
  </property>
  <property fmtid="{D5CDD505-2E9C-101B-9397-08002B2CF9AE}" pid="7" name="Objective-Classification">
    <vt:lpwstr>Official</vt:lpwstr>
  </property>
  <property fmtid="{D5CDD505-2E9C-101B-9397-08002B2CF9AE}" pid="8" name="Objective-Comment">
    <vt:lpwstr/>
  </property>
  <property fmtid="{D5CDD505-2E9C-101B-9397-08002B2CF9AE}" pid="9" name="Objective-CreationStamp">
    <vt:filetime>2024-05-29T03:39:31Z</vt:filetime>
  </property>
  <property fmtid="{D5CDD505-2E9C-101B-9397-08002B2CF9AE}" pid="10" name="Objective-DatePublished">
    <vt:lpwstr/>
  </property>
  <property fmtid="{D5CDD505-2E9C-101B-9397-08002B2CF9AE}" pid="11" name="Objective-Document Type [system]">
    <vt:lpwstr/>
  </property>
  <property fmtid="{D5CDD505-2E9C-101B-9397-08002B2CF9AE}" pid="12" name="Objective-FileNumber">
    <vt:lpwstr/>
  </property>
  <property fmtid="{D5CDD505-2E9C-101B-9397-08002B2CF9AE}" pid="13" name="Objective-Id">
    <vt:lpwstr>BM75410655</vt:lpwstr>
  </property>
  <property fmtid="{D5CDD505-2E9C-101B-9397-08002B2CF9AE}" pid="14" name="Objective-IsApproved">
    <vt:bool>false</vt:bool>
  </property>
  <property fmtid="{D5CDD505-2E9C-101B-9397-08002B2CF9AE}" pid="15" name="Objective-IsPublished">
    <vt:bool>false</vt:bool>
  </property>
  <property fmtid="{D5CDD505-2E9C-101B-9397-08002B2CF9AE}" pid="16" name="Objective-ModificationStamp">
    <vt:filetime>2024-08-15T01:41:54Z</vt:filetime>
  </property>
  <property fmtid="{D5CDD505-2E9C-101B-9397-08002B2CF9AE}" pid="17" name="Objective-Owner">
    <vt:lpwstr>Defence</vt:lpwstr>
  </property>
  <property fmtid="{D5CDD505-2E9C-101B-9397-08002B2CF9AE}" pid="18" name="Objective-Parent">
    <vt:lpwstr>04 Attachments to the Conditions of Contract</vt:lpwstr>
  </property>
  <property fmtid="{D5CDD505-2E9C-101B-9397-08002B2CF9AE}" pid="19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0" name="Objective-State">
    <vt:lpwstr>Being Edited</vt:lpwstr>
  </property>
  <property fmtid="{D5CDD505-2E9C-101B-9397-08002B2CF9AE}" pid="21" name="Objective-Title">
    <vt:lpwstr>023_ASDEFCON_CSER_V1_1_COC_ATTJ_DefenceIndustryParticipation</vt:lpwstr>
  </property>
  <property fmtid="{D5CDD505-2E9C-101B-9397-08002B2CF9AE}" pid="22" name="Objective-Version">
    <vt:lpwstr>1.1</vt:lpwstr>
  </property>
  <property fmtid="{D5CDD505-2E9C-101B-9397-08002B2CF9AE}" pid="23" name="Objective-VersionComment">
    <vt:lpwstr/>
  </property>
  <property fmtid="{D5CDD505-2E9C-101B-9397-08002B2CF9AE}" pid="24" name="Objective-VersionNumber">
    <vt:i4>2</vt:i4>
  </property>
  <property fmtid="{D5CDD505-2E9C-101B-9397-08002B2CF9AE}" pid="25" name="Version">
    <vt:lpwstr>V1.1</vt:lpwstr>
  </property>
  <property fmtid="{D5CDD505-2E9C-101B-9397-08002B2CF9AE}" pid="26" name="Objective-Reason for Security Classification Change [system]">
    <vt:lpwstr/>
  </property>
</Properties>
</file>