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6C93" w14:textId="77777777" w:rsidR="00EE07E5" w:rsidRPr="00795B62" w:rsidRDefault="00100698" w:rsidP="00EE07E5">
      <w:pPr>
        <w:pStyle w:val="DefenceTitle"/>
      </w:pPr>
      <w:r>
        <w:rPr>
          <w:noProof/>
          <w:lang w:eastAsia="en-AU"/>
        </w:rPr>
        <w:pict w14:anchorId="7CBAE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73.1pt;height:60.9pt;visibility:visible">
            <v:imagedata r:id="rId8" o:title=""/>
          </v:shape>
        </w:pict>
      </w:r>
    </w:p>
    <w:p w14:paraId="28EC19F2" w14:textId="77777777" w:rsidR="00CB09E3" w:rsidRPr="00795B62" w:rsidRDefault="00CB09E3" w:rsidP="00EE07E5">
      <w:pPr>
        <w:pStyle w:val="DefenceTitle"/>
        <w:rPr>
          <w:sz w:val="24"/>
          <w:szCs w:val="24"/>
        </w:rPr>
      </w:pPr>
      <w:r w:rsidRPr="00795B62">
        <w:rPr>
          <w:sz w:val="24"/>
          <w:szCs w:val="24"/>
        </w:rPr>
        <w:t>UPDATE SUMMARY</w:t>
      </w:r>
    </w:p>
    <w:p w14:paraId="110AE87F" w14:textId="77777777" w:rsidR="0047544B" w:rsidRDefault="0047544B" w:rsidP="0047544B">
      <w:pPr>
        <w:pStyle w:val="DefenceTitle"/>
        <w:rPr>
          <w:sz w:val="24"/>
          <w:szCs w:val="24"/>
        </w:rPr>
      </w:pPr>
      <w:r>
        <w:rPr>
          <w:sz w:val="24"/>
          <w:szCs w:val="24"/>
        </w:rPr>
        <w:t>19 CHIEF ENGINEER WORKS</w:t>
      </w:r>
    </w:p>
    <w:p w14:paraId="6A861585" w14:textId="1CF17D37" w:rsidR="0047544B" w:rsidRDefault="00E90341" w:rsidP="0047544B">
      <w:pPr>
        <w:pStyle w:val="DefenceTitle"/>
        <w:rPr>
          <w:sz w:val="24"/>
          <w:szCs w:val="24"/>
        </w:rPr>
      </w:pPr>
      <w:r>
        <w:rPr>
          <w:sz w:val="24"/>
          <w:szCs w:val="24"/>
        </w:rPr>
        <w:t>DESIGN SERVICES CONTRACT</w:t>
      </w:r>
      <w:r w:rsidR="0047544B">
        <w:rPr>
          <w:sz w:val="24"/>
          <w:szCs w:val="24"/>
        </w:rPr>
        <w:t xml:space="preserve"> (AUSTRALIA)</w:t>
      </w:r>
    </w:p>
    <w:p w14:paraId="5BF6155D" w14:textId="4FA29DB8" w:rsidR="006D2FD0" w:rsidRDefault="00E90341" w:rsidP="00DB2F3C">
      <w:pPr>
        <w:pStyle w:val="DefenceTitle"/>
        <w:rPr>
          <w:sz w:val="24"/>
          <w:szCs w:val="24"/>
        </w:rPr>
      </w:pPr>
      <w:r>
        <w:rPr>
          <w:sz w:val="24"/>
          <w:szCs w:val="24"/>
        </w:rPr>
        <w:t>OCTOBER</w:t>
      </w:r>
      <w:r w:rsidR="00722A01" w:rsidRPr="000942A4">
        <w:rPr>
          <w:sz w:val="24"/>
          <w:szCs w:val="24"/>
        </w:rPr>
        <w:t xml:space="preserve"> </w:t>
      </w:r>
      <w:r w:rsidR="000942A4" w:rsidRPr="000942A4">
        <w:rPr>
          <w:sz w:val="24"/>
          <w:szCs w:val="24"/>
        </w:rPr>
        <w:t>2022</w:t>
      </w:r>
    </w:p>
    <w:p w14:paraId="40F029E7" w14:textId="77777777" w:rsidR="000440E6" w:rsidRDefault="000440E6" w:rsidP="00E90341">
      <w:pPr>
        <w:pStyle w:val="DefenceHeading1"/>
        <w:numPr>
          <w:ilvl w:val="0"/>
          <w:numId w:val="0"/>
        </w:numPr>
      </w:pPr>
    </w:p>
    <w:p w14:paraId="58846AFE" w14:textId="77777777" w:rsidR="00897AC8" w:rsidRPr="00795B62" w:rsidRDefault="00897AC8" w:rsidP="00897AC8">
      <w:pPr>
        <w:pStyle w:val="DefenceHeading1"/>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897AC8" w:rsidRPr="00795B62" w14:paraId="3A58CF10" w14:textId="77777777" w:rsidTr="00B15060">
        <w:trPr>
          <w:cantSplit/>
          <w:tblHeader/>
        </w:trPr>
        <w:tc>
          <w:tcPr>
            <w:tcW w:w="1985" w:type="dxa"/>
            <w:shd w:val="pct10" w:color="auto" w:fill="auto"/>
          </w:tcPr>
          <w:p w14:paraId="6B097793" w14:textId="77777777" w:rsidR="00897AC8" w:rsidRPr="00795B62" w:rsidRDefault="00897AC8" w:rsidP="000440E6">
            <w:pPr>
              <w:pStyle w:val="DefenceBoldNormal"/>
              <w:keepNext w:val="0"/>
            </w:pPr>
            <w:r w:rsidRPr="00795B62">
              <w:t>Topic/Subject</w:t>
            </w:r>
          </w:p>
        </w:tc>
        <w:tc>
          <w:tcPr>
            <w:tcW w:w="1559" w:type="dxa"/>
            <w:shd w:val="pct10" w:color="auto" w:fill="auto"/>
          </w:tcPr>
          <w:p w14:paraId="653D326B" w14:textId="77777777" w:rsidR="00897AC8" w:rsidRPr="00795B62" w:rsidRDefault="00897AC8" w:rsidP="00536F25">
            <w:pPr>
              <w:pStyle w:val="DefenceBoldNormal"/>
            </w:pPr>
            <w:r w:rsidRPr="00795B62">
              <w:t>Reference (if applicable)</w:t>
            </w:r>
          </w:p>
        </w:tc>
        <w:tc>
          <w:tcPr>
            <w:tcW w:w="5812" w:type="dxa"/>
            <w:shd w:val="pct10" w:color="auto" w:fill="auto"/>
          </w:tcPr>
          <w:p w14:paraId="77C421FD" w14:textId="77777777" w:rsidR="00897AC8" w:rsidRPr="00795B62" w:rsidRDefault="00897AC8" w:rsidP="00536F25">
            <w:pPr>
              <w:pStyle w:val="DefenceBoldNormal"/>
              <w:tabs>
                <w:tab w:val="left" w:pos="1425"/>
              </w:tabs>
            </w:pPr>
            <w:r w:rsidRPr="00795B62">
              <w:t>Description</w:t>
            </w:r>
          </w:p>
        </w:tc>
      </w:tr>
      <w:tr w:rsidR="00E90341" w:rsidRPr="00795B62" w14:paraId="68F5FB12" w14:textId="77777777" w:rsidTr="00B15060">
        <w:trPr>
          <w:cantSplit/>
          <w:trHeight w:val="910"/>
        </w:trPr>
        <w:tc>
          <w:tcPr>
            <w:tcW w:w="1985" w:type="dxa"/>
            <w:shd w:val="clear" w:color="auto" w:fill="auto"/>
          </w:tcPr>
          <w:p w14:paraId="7C0C5EDE" w14:textId="3183A05D" w:rsidR="00E90341" w:rsidRPr="00D17091" w:rsidRDefault="00E90341" w:rsidP="00E90341">
            <w:pPr>
              <w:pStyle w:val="DefenceNormal"/>
            </w:pPr>
            <w:r>
              <w:t>Interpretation</w:t>
            </w:r>
          </w:p>
        </w:tc>
        <w:tc>
          <w:tcPr>
            <w:tcW w:w="1559" w:type="dxa"/>
            <w:shd w:val="clear" w:color="auto" w:fill="auto"/>
          </w:tcPr>
          <w:p w14:paraId="01A0647C" w14:textId="21ABF012" w:rsidR="00E90341" w:rsidRPr="00D17091" w:rsidRDefault="00E90341" w:rsidP="00E90341">
            <w:pPr>
              <w:pStyle w:val="DefenceNormal"/>
              <w:keepNext/>
            </w:pPr>
            <w:r>
              <w:t>Clause 2.1</w:t>
            </w:r>
          </w:p>
        </w:tc>
        <w:tc>
          <w:tcPr>
            <w:tcW w:w="5812" w:type="dxa"/>
            <w:shd w:val="clear" w:color="auto" w:fill="auto"/>
          </w:tcPr>
          <w:p w14:paraId="49DB849D" w14:textId="3DDC62B2" w:rsidR="00E90341" w:rsidRDefault="00E90341" w:rsidP="00E90341">
            <w:pPr>
              <w:numPr>
                <w:ilvl w:val="0"/>
                <w:numId w:val="45"/>
              </w:numPr>
              <w:rPr>
                <w:sz w:val="20"/>
                <w:szCs w:val="22"/>
              </w:rPr>
            </w:pPr>
            <w:r w:rsidRPr="00BB359D">
              <w:rPr>
                <w:sz w:val="20"/>
                <w:szCs w:val="22"/>
              </w:rPr>
              <w:t>Amendment to existing definition of "Strategic Interest Issue"</w:t>
            </w:r>
            <w:r>
              <w:rPr>
                <w:sz w:val="20"/>
                <w:szCs w:val="22"/>
              </w:rPr>
              <w:t xml:space="preserve">; and </w:t>
            </w:r>
          </w:p>
          <w:p w14:paraId="013BAA04" w14:textId="7C57A82B" w:rsidR="00E90341" w:rsidRPr="00E90341" w:rsidRDefault="00E90341" w:rsidP="00E90341">
            <w:pPr>
              <w:numPr>
                <w:ilvl w:val="0"/>
                <w:numId w:val="45"/>
              </w:numPr>
              <w:rPr>
                <w:sz w:val="20"/>
                <w:szCs w:val="22"/>
              </w:rPr>
            </w:pPr>
            <w:r w:rsidRPr="00E90341">
              <w:rPr>
                <w:sz w:val="20"/>
                <w:szCs w:val="22"/>
              </w:rPr>
              <w:t>Deletion of definitions of "Australian Government Information Security Manual", "Australian Government Protective Security Policy Framework" and "Defence Security Principles Framework".</w:t>
            </w:r>
          </w:p>
        </w:tc>
      </w:tr>
      <w:tr w:rsidR="00E90341" w:rsidRPr="00795B62" w14:paraId="4C6D9FDB" w14:textId="77777777" w:rsidTr="00B15060">
        <w:trPr>
          <w:cantSplit/>
        </w:trPr>
        <w:tc>
          <w:tcPr>
            <w:tcW w:w="1985" w:type="dxa"/>
            <w:shd w:val="clear" w:color="auto" w:fill="auto"/>
          </w:tcPr>
          <w:p w14:paraId="3FADDFE7" w14:textId="34B56650" w:rsidR="00E90341" w:rsidRPr="00D17091" w:rsidRDefault="00E90341" w:rsidP="00E90341">
            <w:pPr>
              <w:pStyle w:val="DefenceNormal"/>
            </w:pPr>
            <w:r w:rsidRPr="00E2180F">
              <w:t>Shadow</w:t>
            </w:r>
            <w:r>
              <w:t xml:space="preserve"> Economy Procurement Connected Policy</w:t>
            </w:r>
          </w:p>
        </w:tc>
        <w:tc>
          <w:tcPr>
            <w:tcW w:w="1559" w:type="dxa"/>
            <w:shd w:val="clear" w:color="auto" w:fill="auto"/>
          </w:tcPr>
          <w:p w14:paraId="0C7383E7" w14:textId="46906299" w:rsidR="00E90341" w:rsidRPr="00D17091" w:rsidRDefault="00E90341" w:rsidP="00E90341">
            <w:pPr>
              <w:pStyle w:val="DefenceNormal"/>
              <w:keepNext/>
            </w:pPr>
            <w:r>
              <w:t>Clause 24 and  Tender Schedule J – Statement of Tax Record</w:t>
            </w:r>
          </w:p>
        </w:tc>
        <w:tc>
          <w:tcPr>
            <w:tcW w:w="5812" w:type="dxa"/>
            <w:shd w:val="clear" w:color="auto" w:fill="auto"/>
          </w:tcPr>
          <w:p w14:paraId="4697E65F" w14:textId="094D1F45" w:rsidR="00E90341" w:rsidRPr="008C4D02" w:rsidRDefault="00E90341" w:rsidP="00E90341">
            <w:pPr>
              <w:pStyle w:val="DefenceNormal"/>
              <w:keepNext/>
              <w:rPr>
                <w:b/>
                <w:i/>
              </w:rPr>
            </w:pPr>
            <w:r>
              <w:t>Amendments to update references to ‘Black Economy Procurement Policy’ to ‘Shadow Economy Procurement Policy’.</w:t>
            </w:r>
          </w:p>
        </w:tc>
      </w:tr>
      <w:tr w:rsidR="00E90341" w:rsidRPr="00795B62" w14:paraId="3D853809" w14:textId="77777777" w:rsidTr="00B15060">
        <w:trPr>
          <w:cantSplit/>
        </w:trPr>
        <w:tc>
          <w:tcPr>
            <w:tcW w:w="1985" w:type="dxa"/>
            <w:shd w:val="clear" w:color="auto" w:fill="auto"/>
          </w:tcPr>
          <w:p w14:paraId="249A6A21" w14:textId="0B3901FB" w:rsidR="00E90341" w:rsidRPr="00D17091" w:rsidRDefault="00E90341" w:rsidP="00E90341">
            <w:pPr>
              <w:pStyle w:val="DefenceNormal"/>
            </w:pPr>
            <w:r>
              <w:t>Defence Industry Security Program</w:t>
            </w:r>
          </w:p>
        </w:tc>
        <w:tc>
          <w:tcPr>
            <w:tcW w:w="1559" w:type="dxa"/>
            <w:shd w:val="clear" w:color="auto" w:fill="auto"/>
          </w:tcPr>
          <w:p w14:paraId="52E63819" w14:textId="24A35F51" w:rsidR="00E90341" w:rsidRPr="00D17091" w:rsidRDefault="00E90341" w:rsidP="00E90341">
            <w:pPr>
              <w:pStyle w:val="DefenceNormal"/>
              <w:keepNext/>
            </w:pPr>
            <w:r w:rsidRPr="00D17091">
              <w:t>Tender F</w:t>
            </w:r>
            <w:r>
              <w:t xml:space="preserve">orm and Statutory Declaration, </w:t>
            </w:r>
            <w:r w:rsidRPr="000440E6">
              <w:t>Item</w:t>
            </w:r>
            <w:r w:rsidRPr="00D17091">
              <w:t xml:space="preserve"> </w:t>
            </w:r>
            <w:r>
              <w:t>6</w:t>
            </w:r>
          </w:p>
        </w:tc>
        <w:tc>
          <w:tcPr>
            <w:tcW w:w="5812" w:type="dxa"/>
            <w:shd w:val="clear" w:color="auto" w:fill="auto"/>
          </w:tcPr>
          <w:p w14:paraId="6502F531" w14:textId="1AC8C72E" w:rsidR="00E90341" w:rsidRPr="00D17091" w:rsidRDefault="00E90341" w:rsidP="00E90341">
            <w:pPr>
              <w:pStyle w:val="DefenceNormal"/>
            </w:pPr>
            <w:r w:rsidRPr="00D17091">
              <w:t xml:space="preserve">Amendment to </w:t>
            </w:r>
            <w:r>
              <w:t xml:space="preserve">remove the requirement for Tenderers to be "Defence-ready", and to require the successful Tenderer to obtain and thereafter maintain the level of </w:t>
            </w:r>
            <w:proofErr w:type="spellStart"/>
            <w:r>
              <w:t>DISP</w:t>
            </w:r>
            <w:proofErr w:type="spellEnd"/>
            <w:r>
              <w:t xml:space="preserve"> membership specified in the Contract Particulars (if any).</w:t>
            </w:r>
          </w:p>
        </w:tc>
      </w:tr>
      <w:tr w:rsidR="00E90341" w:rsidRPr="00795B62" w14:paraId="7D27DCE9" w14:textId="77777777" w:rsidTr="00B15060">
        <w:trPr>
          <w:cantSplit/>
        </w:trPr>
        <w:tc>
          <w:tcPr>
            <w:tcW w:w="1985" w:type="dxa"/>
            <w:shd w:val="clear" w:color="auto" w:fill="auto"/>
          </w:tcPr>
          <w:p w14:paraId="1814CCDE" w14:textId="238DE237" w:rsidR="00E90341" w:rsidRPr="00D17091" w:rsidRDefault="00E90341" w:rsidP="00E90341">
            <w:pPr>
              <w:pStyle w:val="DefenceNormal"/>
            </w:pPr>
            <w:r w:rsidRPr="00D9229F">
              <w:t>Financial Viability</w:t>
            </w:r>
          </w:p>
        </w:tc>
        <w:tc>
          <w:tcPr>
            <w:tcW w:w="1559" w:type="dxa"/>
            <w:shd w:val="clear" w:color="auto" w:fill="auto"/>
          </w:tcPr>
          <w:p w14:paraId="7104297A" w14:textId="36C95FE8" w:rsidR="00E90341" w:rsidRPr="00D17091" w:rsidRDefault="00E90341" w:rsidP="00E90341">
            <w:pPr>
              <w:pStyle w:val="DefenceNormal"/>
              <w:keepNext/>
            </w:pPr>
            <w:r w:rsidRPr="00D9229F">
              <w:t xml:space="preserve">Tender Form and Statutory Declaration, Item </w:t>
            </w:r>
            <w:r>
              <w:t>7</w:t>
            </w:r>
          </w:p>
        </w:tc>
        <w:tc>
          <w:tcPr>
            <w:tcW w:w="5812" w:type="dxa"/>
            <w:shd w:val="clear" w:color="auto" w:fill="auto"/>
          </w:tcPr>
          <w:p w14:paraId="47B81C70" w14:textId="3B37F22C" w:rsidR="00E90341" w:rsidRPr="00D17091" w:rsidRDefault="00E90341" w:rsidP="00E90341">
            <w:pPr>
              <w:pStyle w:val="DefenceNormal"/>
            </w:pPr>
            <w:r w:rsidRPr="00D9229F">
              <w:t xml:space="preserve">Amendment to include a new item </w:t>
            </w:r>
            <w:r>
              <w:t>7</w:t>
            </w:r>
            <w:r w:rsidRPr="00D9229F">
              <w:t xml:space="preserve"> requesting the Tenderer to declare (subject to any disclosures) that it has the necessary financial viability to perform the Services and that is not subject any current or impending legal proceedings and dispute resolution processes.</w:t>
            </w:r>
          </w:p>
        </w:tc>
      </w:tr>
      <w:tr w:rsidR="00E90341" w:rsidRPr="00795B62" w14:paraId="2FEB261A" w14:textId="77777777" w:rsidTr="00B15060">
        <w:trPr>
          <w:cantSplit/>
        </w:trPr>
        <w:tc>
          <w:tcPr>
            <w:tcW w:w="1985" w:type="dxa"/>
            <w:shd w:val="clear" w:color="auto" w:fill="auto"/>
          </w:tcPr>
          <w:p w14:paraId="637D767C" w14:textId="372018E7" w:rsidR="00E90341" w:rsidRPr="00D17091" w:rsidRDefault="00E90341" w:rsidP="00E90341">
            <w:pPr>
              <w:pStyle w:val="DefenceNormal"/>
            </w:pPr>
            <w:r>
              <w:t>Modern Slavery</w:t>
            </w:r>
          </w:p>
        </w:tc>
        <w:tc>
          <w:tcPr>
            <w:tcW w:w="1559" w:type="dxa"/>
            <w:shd w:val="clear" w:color="auto" w:fill="auto"/>
          </w:tcPr>
          <w:p w14:paraId="5F376430" w14:textId="0EFD8F4B" w:rsidR="00E90341" w:rsidRPr="00D17091" w:rsidRDefault="00E90341" w:rsidP="00E90341">
            <w:pPr>
              <w:pStyle w:val="DefenceNormal"/>
              <w:keepNext/>
            </w:pPr>
            <w:r w:rsidRPr="00D17091">
              <w:t>Tender F</w:t>
            </w:r>
            <w:r>
              <w:t xml:space="preserve">orm and Statutory Declaration, </w:t>
            </w:r>
            <w:r w:rsidRPr="000440E6">
              <w:t>Item</w:t>
            </w:r>
            <w:r w:rsidRPr="00D17091">
              <w:t xml:space="preserve"> </w:t>
            </w:r>
            <w:r>
              <w:t>8</w:t>
            </w:r>
          </w:p>
        </w:tc>
        <w:tc>
          <w:tcPr>
            <w:tcW w:w="5812" w:type="dxa"/>
            <w:shd w:val="clear" w:color="auto" w:fill="auto"/>
          </w:tcPr>
          <w:p w14:paraId="6B0B69EA" w14:textId="11940E03" w:rsidR="00E90341" w:rsidRPr="00D17091" w:rsidRDefault="00E90341" w:rsidP="00E90341">
            <w:pPr>
              <w:pStyle w:val="DefenceNormal"/>
            </w:pPr>
            <w:r>
              <w:t>Amendment to include a new item 8 requesting the Tenderer to provide details of procedures or policies (if any) it has in place, or what it is doing or plans to do, to assess and manage the risks of modern slavery.</w:t>
            </w:r>
          </w:p>
        </w:tc>
      </w:tr>
      <w:tr w:rsidR="00E90341" w:rsidRPr="00795B62" w14:paraId="13A07834" w14:textId="77777777" w:rsidTr="00B15060">
        <w:trPr>
          <w:cantSplit/>
        </w:trPr>
        <w:tc>
          <w:tcPr>
            <w:tcW w:w="1985" w:type="dxa"/>
            <w:shd w:val="clear" w:color="auto" w:fill="auto"/>
          </w:tcPr>
          <w:p w14:paraId="42DC2A44" w14:textId="752775EC" w:rsidR="00E90341" w:rsidRPr="00100698" w:rsidRDefault="00E90341" w:rsidP="00E90341">
            <w:pPr>
              <w:pStyle w:val="DefenceNormal"/>
            </w:pPr>
            <w:r w:rsidRPr="00100698">
              <w:t>Payment Times Procurement Connected Policy</w:t>
            </w:r>
          </w:p>
        </w:tc>
        <w:tc>
          <w:tcPr>
            <w:tcW w:w="1559" w:type="dxa"/>
            <w:shd w:val="clear" w:color="auto" w:fill="auto"/>
          </w:tcPr>
          <w:p w14:paraId="134E4FD8" w14:textId="17BF9752" w:rsidR="00E90341" w:rsidRPr="00100698" w:rsidRDefault="00E90341" w:rsidP="00E90341">
            <w:pPr>
              <w:pStyle w:val="DefenceNormal"/>
              <w:keepNext/>
            </w:pPr>
            <w:r w:rsidRPr="00100698">
              <w:t>Tender Form and Statutory Declaration, Item 9</w:t>
            </w:r>
          </w:p>
        </w:tc>
        <w:tc>
          <w:tcPr>
            <w:tcW w:w="5812" w:type="dxa"/>
            <w:shd w:val="clear" w:color="auto" w:fill="auto"/>
          </w:tcPr>
          <w:p w14:paraId="3E59BC7A" w14:textId="616C6A60" w:rsidR="00E90341" w:rsidRPr="00100698" w:rsidRDefault="00E90341" w:rsidP="00E90341">
            <w:pPr>
              <w:pStyle w:val="DefenceNormal"/>
            </w:pPr>
            <w:r w:rsidRPr="00100698">
              <w:t xml:space="preserve">Amendment to include a new item 9 requesting the Tenderer to identify whether or not it is a Reporting Entity for the purposes of the PT PCP. </w:t>
            </w:r>
          </w:p>
        </w:tc>
      </w:tr>
      <w:tr w:rsidR="00E90341" w:rsidRPr="00795B62" w14:paraId="69F448A2" w14:textId="77777777" w:rsidTr="00B15060">
        <w:trPr>
          <w:cantSplit/>
        </w:trPr>
        <w:tc>
          <w:tcPr>
            <w:tcW w:w="1985" w:type="dxa"/>
            <w:shd w:val="clear" w:color="auto" w:fill="auto"/>
          </w:tcPr>
          <w:p w14:paraId="5C71789D" w14:textId="4E3440CE" w:rsidR="00E90341" w:rsidRPr="00D17091" w:rsidRDefault="00E90341" w:rsidP="00E90341">
            <w:pPr>
              <w:pStyle w:val="DefenceNormal"/>
            </w:pPr>
            <w:r>
              <w:t>Veteran Participation in the Carrying out of the Contractor’s Activities</w:t>
            </w:r>
          </w:p>
        </w:tc>
        <w:tc>
          <w:tcPr>
            <w:tcW w:w="1559" w:type="dxa"/>
            <w:shd w:val="clear" w:color="auto" w:fill="auto"/>
          </w:tcPr>
          <w:p w14:paraId="082D126E" w14:textId="7D62B433" w:rsidR="00E90341" w:rsidRPr="00D17091" w:rsidRDefault="00E90341" w:rsidP="00E90341">
            <w:pPr>
              <w:pStyle w:val="DefenceNormal"/>
              <w:keepNext/>
            </w:pPr>
            <w:r w:rsidRPr="00D17091">
              <w:t>Tender F</w:t>
            </w:r>
            <w:r>
              <w:t xml:space="preserve">orm and Statutory Declaration, </w:t>
            </w:r>
            <w:r w:rsidRPr="000440E6">
              <w:t>Item</w:t>
            </w:r>
            <w:r w:rsidRPr="00D17091">
              <w:t xml:space="preserve"> </w:t>
            </w:r>
            <w:r>
              <w:t>10</w:t>
            </w:r>
          </w:p>
        </w:tc>
        <w:tc>
          <w:tcPr>
            <w:tcW w:w="5812" w:type="dxa"/>
            <w:shd w:val="clear" w:color="auto" w:fill="auto"/>
          </w:tcPr>
          <w:p w14:paraId="4428BD55" w14:textId="3A1F50B6" w:rsidR="00E90341" w:rsidRPr="00D17091" w:rsidRDefault="00E90341" w:rsidP="00E90341">
            <w:pPr>
              <w:pStyle w:val="DefenceNormal"/>
            </w:pPr>
            <w:r w:rsidRPr="00D17091">
              <w:t xml:space="preserve">Amendment to include a new </w:t>
            </w:r>
            <w:r w:rsidRPr="000440E6">
              <w:t>item</w:t>
            </w:r>
            <w:r w:rsidRPr="00D17091">
              <w:t xml:space="preserve"> </w:t>
            </w:r>
            <w:r>
              <w:t>10</w:t>
            </w:r>
            <w:r w:rsidRPr="00D17091">
              <w:t xml:space="preserve"> requesting the Tenderer to describe its approach to employing and engaging Australian veterans in connection with the </w:t>
            </w:r>
            <w:r>
              <w:t>delivery of the Services</w:t>
            </w:r>
            <w:r w:rsidRPr="00D17091">
              <w:t>, whether directly or through the engagement of subcontractors.</w:t>
            </w:r>
          </w:p>
        </w:tc>
      </w:tr>
      <w:tr w:rsidR="00E90341" w:rsidRPr="00795B62" w14:paraId="22EC915A" w14:textId="77777777" w:rsidTr="00B15060">
        <w:trPr>
          <w:cantSplit/>
        </w:trPr>
        <w:tc>
          <w:tcPr>
            <w:tcW w:w="1985" w:type="dxa"/>
            <w:shd w:val="clear" w:color="auto" w:fill="auto"/>
          </w:tcPr>
          <w:p w14:paraId="0E2378D5" w14:textId="43A370CB" w:rsidR="00E90341" w:rsidRPr="00D17091" w:rsidRDefault="00E90341" w:rsidP="00E90341">
            <w:pPr>
              <w:pStyle w:val="DefenceNormal"/>
            </w:pPr>
            <w:r>
              <w:lastRenderedPageBreak/>
              <w:t>Pandemic Adjustment Event</w:t>
            </w:r>
          </w:p>
        </w:tc>
        <w:tc>
          <w:tcPr>
            <w:tcW w:w="1559" w:type="dxa"/>
            <w:shd w:val="clear" w:color="auto" w:fill="auto"/>
          </w:tcPr>
          <w:p w14:paraId="01DF2C38" w14:textId="64002FE6" w:rsidR="00E90341" w:rsidRPr="00D17091" w:rsidRDefault="00E90341" w:rsidP="00E90341">
            <w:pPr>
              <w:pStyle w:val="DefenceNormal"/>
              <w:keepNext/>
            </w:pPr>
            <w:r>
              <w:t>Tender Schedule H - Fee</w:t>
            </w:r>
          </w:p>
        </w:tc>
        <w:tc>
          <w:tcPr>
            <w:tcW w:w="5812" w:type="dxa"/>
            <w:shd w:val="clear" w:color="auto" w:fill="auto"/>
          </w:tcPr>
          <w:p w14:paraId="69B01398" w14:textId="505546E8" w:rsidR="00E90341" w:rsidRPr="00D17091" w:rsidRDefault="00E90341" w:rsidP="00E90341">
            <w:pPr>
              <w:pStyle w:val="DefenceNormal"/>
            </w:pPr>
            <w:r>
              <w:t>Minor amendment</w:t>
            </w:r>
            <w:r w:rsidR="00100698">
              <w:t>s</w:t>
            </w:r>
            <w:r>
              <w:t xml:space="preserve"> to item (b) to reflect the amendments to the Conditions of Contract in respect of the Pandemic.</w:t>
            </w:r>
          </w:p>
        </w:tc>
      </w:tr>
    </w:tbl>
    <w:p w14:paraId="0F17182D" w14:textId="77777777" w:rsidR="000440E6" w:rsidRDefault="000440E6" w:rsidP="000440E6">
      <w:pPr>
        <w:pStyle w:val="DefenceHeading1"/>
        <w:keepNext w:val="0"/>
        <w:numPr>
          <w:ilvl w:val="0"/>
          <w:numId w:val="0"/>
        </w:numPr>
        <w:ind w:left="964"/>
      </w:pPr>
    </w:p>
    <w:p w14:paraId="04072542" w14:textId="77777777" w:rsidR="00FF3491" w:rsidRPr="00795B62" w:rsidRDefault="00FF3491" w:rsidP="000440E6">
      <w:pPr>
        <w:pStyle w:val="DefenceHeading1"/>
        <w:keepNext w:val="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0440E6">
            <w:pPr>
              <w:pStyle w:val="DefenceBoldNormal"/>
              <w:keepNext w:val="0"/>
            </w:pPr>
            <w:r w:rsidRPr="00795B62">
              <w:t>Topic/Subject</w:t>
            </w:r>
          </w:p>
        </w:tc>
        <w:tc>
          <w:tcPr>
            <w:tcW w:w="1559" w:type="dxa"/>
            <w:shd w:val="pct10" w:color="auto" w:fill="auto"/>
          </w:tcPr>
          <w:p w14:paraId="55FAEF36" w14:textId="77777777" w:rsidR="00FF3491" w:rsidRPr="00795B62" w:rsidRDefault="00FF3491" w:rsidP="000440E6">
            <w:pPr>
              <w:pStyle w:val="DefenceBoldNormal"/>
              <w:keepNext w:val="0"/>
            </w:pPr>
            <w:r w:rsidRPr="00795B62">
              <w:t>Reference (if applicable)</w:t>
            </w:r>
          </w:p>
        </w:tc>
        <w:tc>
          <w:tcPr>
            <w:tcW w:w="5918" w:type="dxa"/>
            <w:shd w:val="pct10" w:color="auto" w:fill="auto"/>
          </w:tcPr>
          <w:p w14:paraId="16B7C85B" w14:textId="77777777" w:rsidR="00FF3491" w:rsidRPr="00795B62" w:rsidRDefault="00FF3491" w:rsidP="000440E6">
            <w:pPr>
              <w:pStyle w:val="DefenceBoldNormal"/>
              <w:keepNext w:val="0"/>
              <w:tabs>
                <w:tab w:val="left" w:pos="1425"/>
              </w:tabs>
            </w:pPr>
            <w:r w:rsidRPr="00795B62">
              <w:t>Description</w:t>
            </w:r>
          </w:p>
        </w:tc>
      </w:tr>
      <w:tr w:rsidR="001D4D67" w:rsidRPr="00795B62" w14:paraId="4B0E5888" w14:textId="77777777" w:rsidTr="00B15060">
        <w:tc>
          <w:tcPr>
            <w:tcW w:w="1985" w:type="dxa"/>
            <w:shd w:val="clear" w:color="auto" w:fill="auto"/>
          </w:tcPr>
          <w:p w14:paraId="1AC0B00E" w14:textId="1A0A8B82" w:rsidR="001D4D67" w:rsidRPr="00911225" w:rsidRDefault="001D4D67" w:rsidP="001D4D67">
            <w:pPr>
              <w:pStyle w:val="DefenceNormal"/>
            </w:pPr>
            <w:r>
              <w:t xml:space="preserve">Pandemic Adjustment Event </w:t>
            </w:r>
          </w:p>
        </w:tc>
        <w:tc>
          <w:tcPr>
            <w:tcW w:w="1559" w:type="dxa"/>
            <w:shd w:val="clear" w:color="auto" w:fill="auto"/>
          </w:tcPr>
          <w:p w14:paraId="6D2EC46D" w14:textId="63455589" w:rsidR="001D4D67" w:rsidRPr="00911225" w:rsidRDefault="001D4D67" w:rsidP="001D4D67">
            <w:pPr>
              <w:pStyle w:val="DefenceNormal"/>
            </w:pPr>
            <w:r>
              <w:t>Clause 1.14 and Contract Particulars</w:t>
            </w:r>
          </w:p>
        </w:tc>
        <w:tc>
          <w:tcPr>
            <w:tcW w:w="5918" w:type="dxa"/>
            <w:shd w:val="clear" w:color="auto" w:fill="auto"/>
          </w:tcPr>
          <w:p w14:paraId="36328468" w14:textId="31163E71" w:rsidR="001D4D67" w:rsidRPr="00911225" w:rsidRDefault="001D4D67" w:rsidP="001D4D67">
            <w:pPr>
              <w:pStyle w:val="DefenceNormal"/>
            </w:pPr>
            <w:r>
              <w:t xml:space="preserve">Minor amendments to the Pandemic Relief Event (now called Pandemic Adjustment Event) regime, to rename the regime and to clarify that the entitlement of the parties in respect of Pandemic Adjustment Events will be captured solely by this clause.  </w:t>
            </w:r>
          </w:p>
        </w:tc>
      </w:tr>
      <w:tr w:rsidR="001D4D67" w:rsidRPr="00795B62" w14:paraId="4BCA4DB7" w14:textId="77777777" w:rsidTr="00B15060">
        <w:tc>
          <w:tcPr>
            <w:tcW w:w="1985" w:type="dxa"/>
            <w:shd w:val="clear" w:color="auto" w:fill="auto"/>
          </w:tcPr>
          <w:p w14:paraId="1AF05C23" w14:textId="7A1CD981" w:rsidR="001D4D67" w:rsidRPr="00BE673E" w:rsidRDefault="001D4D67" w:rsidP="001D4D67">
            <w:pPr>
              <w:pStyle w:val="DefenceNormal"/>
            </w:pPr>
            <w:r>
              <w:t>Defence Industry Security Program</w:t>
            </w:r>
          </w:p>
        </w:tc>
        <w:tc>
          <w:tcPr>
            <w:tcW w:w="1559" w:type="dxa"/>
            <w:shd w:val="clear" w:color="auto" w:fill="auto"/>
          </w:tcPr>
          <w:p w14:paraId="120B6DB4" w14:textId="7DAB9B51" w:rsidR="001D4D67" w:rsidRPr="001D4D67" w:rsidRDefault="001D4D67" w:rsidP="001D4D67">
            <w:pPr>
              <w:pStyle w:val="DefenceNormal"/>
            </w:pPr>
            <w:r w:rsidRPr="001D4D67">
              <w:t>Clauses 10.4</w:t>
            </w:r>
            <w:r>
              <w:t xml:space="preserve">, </w:t>
            </w:r>
            <w:r w:rsidRPr="001D4D67">
              <w:t>13.12</w:t>
            </w:r>
            <w:r>
              <w:t xml:space="preserve"> and </w:t>
            </w:r>
            <w:r w:rsidRPr="001D4D67">
              <w:t xml:space="preserve">Contract Particulars </w:t>
            </w:r>
          </w:p>
        </w:tc>
        <w:tc>
          <w:tcPr>
            <w:tcW w:w="5918" w:type="dxa"/>
            <w:shd w:val="clear" w:color="auto" w:fill="auto"/>
          </w:tcPr>
          <w:p w14:paraId="5B7C54B3" w14:textId="5C01C477" w:rsidR="001D4D67" w:rsidRPr="001D4D67" w:rsidRDefault="001D4D67" w:rsidP="001D4D67">
            <w:pPr>
              <w:pStyle w:val="DefenceNormal"/>
            </w:pPr>
            <w:r w:rsidRPr="001D4D67">
              <w:t xml:space="preserve">Amendments to the </w:t>
            </w:r>
            <w:proofErr w:type="spellStart"/>
            <w:r w:rsidRPr="001D4D67">
              <w:t>DISP</w:t>
            </w:r>
            <w:proofErr w:type="spellEnd"/>
            <w:r w:rsidRPr="001D4D67">
              <w:t xml:space="preserve"> requirements, including removing the requirement for the Consultant to be "Defence-ready" and to require the Consultant to obtain and thereafter maintain the level of </w:t>
            </w:r>
            <w:proofErr w:type="spellStart"/>
            <w:r w:rsidRPr="001D4D67">
              <w:t>DISP</w:t>
            </w:r>
            <w:proofErr w:type="spellEnd"/>
            <w:r w:rsidRPr="001D4D67">
              <w:t xml:space="preserve"> membership specified in the Contract Particulars (if any).  Inclusion of certain acknowledgements by the Consultant and consequential amendments to clause 10.4 for failures to comply with the </w:t>
            </w:r>
            <w:proofErr w:type="spellStart"/>
            <w:r w:rsidRPr="001D4D67">
              <w:t>DISP</w:t>
            </w:r>
            <w:proofErr w:type="spellEnd"/>
            <w:r w:rsidRPr="001D4D67">
              <w:t xml:space="preserve"> requirements. </w:t>
            </w:r>
          </w:p>
        </w:tc>
      </w:tr>
      <w:tr w:rsidR="001D4D67" w:rsidRPr="00795B62" w14:paraId="2EB2D13A" w14:textId="77777777" w:rsidTr="00B15060">
        <w:tc>
          <w:tcPr>
            <w:tcW w:w="1985" w:type="dxa"/>
            <w:shd w:val="clear" w:color="auto" w:fill="auto"/>
          </w:tcPr>
          <w:p w14:paraId="663B9219" w14:textId="0F70BB01" w:rsidR="001D4D67" w:rsidRPr="00911225" w:rsidRDefault="001D4D67" w:rsidP="001D4D67">
            <w:pPr>
              <w:pStyle w:val="DefenceNormal"/>
            </w:pPr>
            <w:r w:rsidRPr="00BE673E">
              <w:t>Shadow Economy Procurement Connected Policy</w:t>
            </w:r>
          </w:p>
        </w:tc>
        <w:tc>
          <w:tcPr>
            <w:tcW w:w="1559" w:type="dxa"/>
            <w:shd w:val="clear" w:color="auto" w:fill="auto"/>
          </w:tcPr>
          <w:p w14:paraId="1660AE8A" w14:textId="6B89F7D4" w:rsidR="001D4D67" w:rsidRPr="00911225" w:rsidRDefault="001D4D67" w:rsidP="001D4D67">
            <w:pPr>
              <w:pStyle w:val="DefenceNormal"/>
            </w:pPr>
            <w:r w:rsidRPr="00BE673E">
              <w:t xml:space="preserve">Clauses </w:t>
            </w:r>
            <w:r>
              <w:t>13.11, 18.1</w:t>
            </w:r>
            <w:r w:rsidRPr="00BE673E">
              <w:t xml:space="preserve"> and </w:t>
            </w:r>
            <w:r>
              <w:t>Contract</w:t>
            </w:r>
            <w:r w:rsidRPr="00BE673E">
              <w:t xml:space="preserve"> Particulars</w:t>
            </w:r>
            <w:r>
              <w:t xml:space="preserve"> </w:t>
            </w:r>
          </w:p>
        </w:tc>
        <w:tc>
          <w:tcPr>
            <w:tcW w:w="5918" w:type="dxa"/>
            <w:shd w:val="clear" w:color="auto" w:fill="auto"/>
          </w:tcPr>
          <w:p w14:paraId="1614955D" w14:textId="3903CAB9" w:rsidR="001D4D67" w:rsidRPr="00911225" w:rsidRDefault="001D4D67" w:rsidP="001D4D67">
            <w:pPr>
              <w:pStyle w:val="DefenceNormal"/>
            </w:pPr>
            <w:r w:rsidRPr="00BE673E">
              <w:t>Amendments to update references to ‘Black Economy Procurement Policy’ to ‘Shadow Economy Procurement Policy’.</w:t>
            </w:r>
          </w:p>
        </w:tc>
      </w:tr>
      <w:tr w:rsidR="001D4D67" w:rsidRPr="00795B62" w14:paraId="6F42CF99" w14:textId="77777777" w:rsidTr="00B15060">
        <w:tc>
          <w:tcPr>
            <w:tcW w:w="1985" w:type="dxa"/>
            <w:shd w:val="clear" w:color="auto" w:fill="auto"/>
          </w:tcPr>
          <w:p w14:paraId="19CF093C" w14:textId="4B903F95" w:rsidR="001D4D67" w:rsidRPr="00911225" w:rsidRDefault="001D4D67" w:rsidP="001D4D67">
            <w:pPr>
              <w:pStyle w:val="DefenceNormal"/>
            </w:pPr>
            <w:r>
              <w:t>Modern Slavery</w:t>
            </w:r>
          </w:p>
        </w:tc>
        <w:tc>
          <w:tcPr>
            <w:tcW w:w="1559" w:type="dxa"/>
            <w:shd w:val="clear" w:color="auto" w:fill="auto"/>
          </w:tcPr>
          <w:p w14:paraId="36A211D9" w14:textId="4CAA93AB" w:rsidR="001D4D67" w:rsidRPr="00911225" w:rsidRDefault="001D4D67" w:rsidP="001D4D67">
            <w:pPr>
              <w:pStyle w:val="DefenceNormal"/>
            </w:pPr>
            <w:r>
              <w:t xml:space="preserve">Clause 13.13 </w:t>
            </w:r>
          </w:p>
        </w:tc>
        <w:tc>
          <w:tcPr>
            <w:tcW w:w="5918" w:type="dxa"/>
            <w:shd w:val="clear" w:color="auto" w:fill="auto"/>
          </w:tcPr>
          <w:p w14:paraId="026BF748" w14:textId="699187F2" w:rsidR="001D4D67" w:rsidRDefault="001D4D67" w:rsidP="001D4D67">
            <w:pPr>
              <w:pStyle w:val="DefenceNormal"/>
              <w:spacing w:after="120"/>
            </w:pPr>
            <w:r>
              <w:t>A new clause 13.13 has been inserted to require the Consultant to:</w:t>
            </w:r>
          </w:p>
          <w:p w14:paraId="02FA2767" w14:textId="77777777" w:rsidR="001D4D67" w:rsidRDefault="001D4D67" w:rsidP="001D4D67">
            <w:pPr>
              <w:pStyle w:val="DefenceNormal"/>
              <w:numPr>
                <w:ilvl w:val="0"/>
                <w:numId w:val="46"/>
              </w:numPr>
              <w:spacing w:before="120" w:after="120"/>
            </w:pPr>
            <w:r>
              <w:t>take reasonable steps to identify, assess and address risks of Modern Slavery practices arising in connection with the Contract;</w:t>
            </w:r>
          </w:p>
          <w:p w14:paraId="1038AEAB" w14:textId="0F19471A" w:rsidR="001D4D67" w:rsidRDefault="001D4D67" w:rsidP="001D4D67">
            <w:pPr>
              <w:pStyle w:val="DefenceNormal"/>
              <w:numPr>
                <w:ilvl w:val="0"/>
                <w:numId w:val="46"/>
              </w:numPr>
              <w:spacing w:before="120" w:after="120"/>
            </w:pPr>
            <w:r>
              <w:t>ensure the Consultant’s key people have undertaken suitable training to be able to identify and report Modern Slavery; and</w:t>
            </w:r>
          </w:p>
          <w:p w14:paraId="02937D84" w14:textId="24E4850C" w:rsidR="001D4D67" w:rsidRPr="00911225" w:rsidRDefault="001D4D67" w:rsidP="001D4D67">
            <w:pPr>
              <w:pStyle w:val="DefenceNormal"/>
              <w:numPr>
                <w:ilvl w:val="0"/>
                <w:numId w:val="46"/>
              </w:numPr>
              <w:spacing w:before="120" w:after="120"/>
            </w:pPr>
            <w:r>
              <w:t>if the Consultant becomes aware of Modern Slavery practices, the Consultant must notify the Contract Administrator and take all reasonable action to address to remove these practices.</w:t>
            </w:r>
          </w:p>
        </w:tc>
      </w:tr>
      <w:tr w:rsidR="001D4D67" w:rsidRPr="00795B62" w14:paraId="254814A5" w14:textId="77777777" w:rsidTr="00B15060">
        <w:tc>
          <w:tcPr>
            <w:tcW w:w="1985" w:type="dxa"/>
            <w:shd w:val="clear" w:color="auto" w:fill="auto"/>
          </w:tcPr>
          <w:p w14:paraId="3DD2F73F" w14:textId="794CC9AC" w:rsidR="001D4D67" w:rsidRPr="00911225" w:rsidRDefault="001D4D67" w:rsidP="001D4D67">
            <w:pPr>
              <w:pStyle w:val="DefenceNormal"/>
            </w:pPr>
            <w:r>
              <w:t>Payment Times Procurement Connected Policy</w:t>
            </w:r>
          </w:p>
        </w:tc>
        <w:tc>
          <w:tcPr>
            <w:tcW w:w="1559" w:type="dxa"/>
            <w:shd w:val="clear" w:color="auto" w:fill="auto"/>
          </w:tcPr>
          <w:p w14:paraId="6163FA43" w14:textId="0D8E73CF" w:rsidR="001D4D67" w:rsidRPr="00911225" w:rsidRDefault="00D77CC0" w:rsidP="001D4D67">
            <w:pPr>
              <w:pStyle w:val="DefenceNormal"/>
            </w:pPr>
            <w:r>
              <w:t>Clause 18</w:t>
            </w:r>
            <w:r w:rsidR="001D4D67">
              <w:t xml:space="preserve"> and Contract Particulars</w:t>
            </w:r>
          </w:p>
        </w:tc>
        <w:tc>
          <w:tcPr>
            <w:tcW w:w="5918" w:type="dxa"/>
            <w:shd w:val="clear" w:color="auto" w:fill="auto"/>
          </w:tcPr>
          <w:p w14:paraId="1AFFF6C3" w14:textId="349F793F" w:rsidR="001D4D67" w:rsidRDefault="001D4D67" w:rsidP="001D4D67">
            <w:pPr>
              <w:pStyle w:val="DefenceNormal"/>
            </w:pPr>
            <w:r>
              <w:t>Inclusion of</w:t>
            </w:r>
            <w:r w:rsidR="00D77CC0">
              <w:t xml:space="preserve"> a</w:t>
            </w:r>
            <w:r>
              <w:t xml:space="preserve"> new </w:t>
            </w:r>
            <w:r w:rsidR="00D77CC0">
              <w:t>clause 18</w:t>
            </w:r>
            <w:r>
              <w:t xml:space="preserve"> to capture the operation of the PT PCP, which requires Reporting Entities:</w:t>
            </w:r>
          </w:p>
          <w:p w14:paraId="68AA6450" w14:textId="77777777" w:rsidR="001D4D67" w:rsidRDefault="001D4D67" w:rsidP="001D4D67">
            <w:pPr>
              <w:pStyle w:val="DefenceNormal"/>
              <w:numPr>
                <w:ilvl w:val="0"/>
                <w:numId w:val="40"/>
              </w:numPr>
            </w:pPr>
            <w:r>
              <w:t>to pay PT PCP Subcontractors within 20 calendar days (and pay interest on unpaid amounts);</w:t>
            </w:r>
          </w:p>
          <w:p w14:paraId="6BD74A38" w14:textId="77777777" w:rsidR="001D4D67" w:rsidRDefault="001D4D67" w:rsidP="001D4D67">
            <w:pPr>
              <w:pStyle w:val="DefenceNormal"/>
              <w:numPr>
                <w:ilvl w:val="0"/>
                <w:numId w:val="40"/>
              </w:numPr>
            </w:pPr>
            <w:r>
              <w:t>to include certain provisions in PT PCP Subcontracts; and</w:t>
            </w:r>
          </w:p>
          <w:p w14:paraId="68562795" w14:textId="77777777" w:rsidR="00D77CC0" w:rsidRDefault="001D4D67" w:rsidP="001D4D67">
            <w:pPr>
              <w:pStyle w:val="DefenceNormal"/>
              <w:numPr>
                <w:ilvl w:val="0"/>
                <w:numId w:val="40"/>
              </w:numPr>
            </w:pPr>
            <w:r>
              <w:t xml:space="preserve">to include certain pass through obligations to be included in Reporting Entity Subcontracts,  </w:t>
            </w:r>
          </w:p>
          <w:p w14:paraId="5384B607" w14:textId="75EEE1B7" w:rsidR="001D4D67" w:rsidRPr="00911225" w:rsidRDefault="001D4D67" w:rsidP="00D0573C">
            <w:pPr>
              <w:pStyle w:val="DefenceNormal"/>
            </w:pPr>
            <w:r>
              <w:t xml:space="preserve">and sets out a complaints/reporting regime on the operation of the same. </w:t>
            </w:r>
          </w:p>
        </w:tc>
      </w:tr>
      <w:tr w:rsidR="001D4D67" w:rsidRPr="00795B62" w14:paraId="55E6F36E" w14:textId="77777777" w:rsidTr="00B15060">
        <w:tc>
          <w:tcPr>
            <w:tcW w:w="1985" w:type="dxa"/>
            <w:shd w:val="clear" w:color="auto" w:fill="auto"/>
          </w:tcPr>
          <w:p w14:paraId="5FE19DDB" w14:textId="6C963A09" w:rsidR="001D4D67" w:rsidRPr="00911225" w:rsidRDefault="001D4D67" w:rsidP="001D4D67">
            <w:pPr>
              <w:pStyle w:val="DefenceNormal"/>
            </w:pPr>
            <w:r>
              <w:lastRenderedPageBreak/>
              <w:t>Glossary of Terms</w:t>
            </w:r>
          </w:p>
        </w:tc>
        <w:tc>
          <w:tcPr>
            <w:tcW w:w="1559" w:type="dxa"/>
            <w:shd w:val="clear" w:color="auto" w:fill="auto"/>
          </w:tcPr>
          <w:p w14:paraId="6D71C1E2" w14:textId="0D31358E" w:rsidR="001D4D67" w:rsidRPr="00911225" w:rsidRDefault="001D4D67" w:rsidP="001D4D67">
            <w:pPr>
              <w:pStyle w:val="DefenceNormal"/>
            </w:pPr>
            <w:r>
              <w:t xml:space="preserve">Clause </w:t>
            </w:r>
            <w:r w:rsidR="00D77CC0">
              <w:t>19.1 and</w:t>
            </w:r>
            <w:r>
              <w:t xml:space="preserve"> Contract Particulars </w:t>
            </w:r>
          </w:p>
        </w:tc>
        <w:tc>
          <w:tcPr>
            <w:tcW w:w="5918" w:type="dxa"/>
            <w:shd w:val="clear" w:color="auto" w:fill="auto"/>
          </w:tcPr>
          <w:p w14:paraId="7EBBB072" w14:textId="303B2854" w:rsidR="001D4D67" w:rsidRDefault="001D4D67" w:rsidP="001D4D67">
            <w:pPr>
              <w:pStyle w:val="DefenceNormal"/>
              <w:numPr>
                <w:ilvl w:val="0"/>
                <w:numId w:val="38"/>
              </w:numPr>
            </w:pPr>
            <w:r>
              <w:t>Insertion of new definitions of "Information Security Requirements", "Pandemic Adjustment Event" (and deleting the definition of "Pandemic Relief Event")</w:t>
            </w:r>
            <w:r w:rsidR="00D77CC0">
              <w:t xml:space="preserve">, "Security of Payment </w:t>
            </w:r>
            <w:r w:rsidR="00D77CC0" w:rsidRPr="004518CD">
              <w:t>Legislation"</w:t>
            </w:r>
            <w:r w:rsidRPr="004518CD">
              <w:t xml:space="preserve"> and definitions required for the operation of the PT PCP;</w:t>
            </w:r>
          </w:p>
          <w:p w14:paraId="016D00E6" w14:textId="3CB4CC9D" w:rsidR="001D4D67" w:rsidRDefault="001D4D67" w:rsidP="001D4D67">
            <w:pPr>
              <w:pStyle w:val="DefenceNormal"/>
              <w:numPr>
                <w:ilvl w:val="0"/>
                <w:numId w:val="38"/>
              </w:numPr>
            </w:pPr>
            <w:r>
              <w:t xml:space="preserve">Amendment to existing definition of </w:t>
            </w:r>
            <w:r w:rsidR="004518CD">
              <w:t>"Sensitive and Classified Information"</w:t>
            </w:r>
            <w:r w:rsidR="004518CD">
              <w:t>,</w:t>
            </w:r>
            <w:r w:rsidR="004518CD">
              <w:t xml:space="preserve"> </w:t>
            </w:r>
            <w:r>
              <w:t>"Strategic Interest Issue"</w:t>
            </w:r>
            <w:r w:rsidR="004518CD">
              <w:t xml:space="preserve"> </w:t>
            </w:r>
            <w:r>
              <w:t>and "Statutory Requirements"; and</w:t>
            </w:r>
          </w:p>
          <w:p w14:paraId="4027E773" w14:textId="7F7C0794" w:rsidR="001D4D67" w:rsidRPr="00911225" w:rsidRDefault="001D4D67" w:rsidP="001D4D67">
            <w:pPr>
              <w:pStyle w:val="DefenceNormal"/>
              <w:numPr>
                <w:ilvl w:val="0"/>
                <w:numId w:val="38"/>
              </w:numPr>
            </w:pPr>
            <w:r>
              <w:t xml:space="preserve">Deletion of definitions of </w:t>
            </w:r>
            <w:r w:rsidRPr="00D9229F">
              <w:t>"</w:t>
            </w:r>
            <w:proofErr w:type="spellStart"/>
            <w:r w:rsidRPr="00D9229F">
              <w:t>ASD</w:t>
            </w:r>
            <w:proofErr w:type="spellEnd"/>
            <w:r w:rsidRPr="00D9229F">
              <w:t xml:space="preserve"> Certified Cloud Services List"</w:t>
            </w:r>
            <w:r>
              <w:t>, "Australian Government Information Security Manual", "Australian Government Personnel Security Management Protocol", "Australian Government Physical Security Management Protocol" and "Australian Government Protective Security Policy Framework".</w:t>
            </w:r>
          </w:p>
        </w:tc>
      </w:tr>
    </w:tbl>
    <w:p w14:paraId="7550C3AD" w14:textId="77777777" w:rsidR="00A1268B" w:rsidRDefault="00A1268B" w:rsidP="00164633">
      <w:pPr>
        <w:pStyle w:val="DefenceNormal"/>
        <w:keepNext/>
        <w:rPr>
          <w:b/>
        </w:rPr>
      </w:pPr>
    </w:p>
    <w:p w14:paraId="366FBD28" w14:textId="77777777" w:rsidR="00897AC8" w:rsidRPr="00897AC8" w:rsidRDefault="00897AC8" w:rsidP="00164633">
      <w:pPr>
        <w:pStyle w:val="DefenceNormal"/>
        <w:keepNext/>
        <w:rPr>
          <w:b/>
        </w:rPr>
      </w:pPr>
      <w:r w:rsidRPr="00897AC8">
        <w:rPr>
          <w:b/>
        </w:rPr>
        <w:t>DISCLAIMER:</w:t>
      </w:r>
    </w:p>
    <w:p w14:paraId="77B8845D" w14:textId="77777777" w:rsidR="00665923" w:rsidRPr="0009716B" w:rsidRDefault="00897AC8" w:rsidP="00F831D2">
      <w:pPr>
        <w:pStyle w:val="DefenceNormal"/>
      </w:pPr>
      <w:r>
        <w:t>This summary has been prepared solely for the purpose of providing internal guidance to Defence personnel.  Any use by non-Defence personnel is unauthorised.  No responsibility will be taken by the Commonwealth of Australia or the advisers assisting in the preparation of the summary, for any such use, including any purported reliance on the guidance provided by the summary.  The summary is not intended to be a substitute for legal advice</w:t>
      </w:r>
      <w:r w:rsidR="008C673E">
        <w:t xml:space="preserve"> or for reading the actual document itself</w:t>
      </w:r>
      <w:r w:rsidR="00E74B68">
        <w:t>,</w:t>
      </w:r>
      <w:r>
        <w:t xml:space="preserve"> and nothing in the summary will alter or affect the respective rights, obligations and liabilities of the parties under any document or contract.</w:t>
      </w:r>
    </w:p>
    <w:sectPr w:rsidR="00665923" w:rsidRPr="0009716B"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9466" w14:textId="77777777" w:rsidR="005840D9" w:rsidRDefault="005840D9">
      <w:r>
        <w:separator/>
      </w:r>
    </w:p>
  </w:endnote>
  <w:endnote w:type="continuationSeparator" w:id="0">
    <w:p w14:paraId="7AF2B923" w14:textId="77777777" w:rsidR="005840D9" w:rsidRDefault="0058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471DDF96" w:rsidR="006E5250" w:rsidRDefault="00C80ACF" w:rsidP="00FB61A1">
    <w:pPr>
      <w:pStyle w:val="Footer"/>
      <w:ind w:right="360"/>
    </w:pPr>
    <w:fldSimple w:instr=" DOCVARIABLE  CUFooterText \* MERGEFORMAT " w:fldLock="1">
      <w:r w:rsidR="00A315C0">
        <w:t>L\346805938.1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C8DB" w14:textId="77777777" w:rsidR="006E5250" w:rsidRDefault="006E5250" w:rsidP="00FE4447">
    <w:pPr>
      <w:pStyle w:val="Footer"/>
      <w:pBdr>
        <w:top w:val="single" w:sz="4" w:space="1" w:color="auto"/>
      </w:pBdr>
      <w:ind w:right="-2"/>
      <w:jc w:val="right"/>
    </w:pPr>
    <w:r>
      <w:tab/>
    </w:r>
    <w:r>
      <w:tab/>
    </w:r>
    <w:r>
      <w:br/>
    </w:r>
    <w:r>
      <w:fldChar w:fldCharType="begin"/>
    </w:r>
    <w:r>
      <w:instrText xml:space="preserve"> PAGE   \* MERGEFORMAT </w:instrText>
    </w:r>
    <w:r>
      <w:fldChar w:fldCharType="separate"/>
    </w:r>
    <w:r w:rsidR="0038574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232" w14:textId="61B87EDE" w:rsidR="006E5250" w:rsidRDefault="00C80ACF">
    <w:pPr>
      <w:pStyle w:val="Footer"/>
    </w:pPr>
    <w:fldSimple w:instr=" DOCVARIABLE  CUFooterText \* MERGEFORMAT " w:fldLock="1">
      <w:r w:rsidR="00A315C0">
        <w:t>L\346805938.1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B57D" w14:textId="77777777" w:rsidR="005840D9" w:rsidRDefault="005840D9">
      <w:r>
        <w:separator/>
      </w:r>
    </w:p>
  </w:footnote>
  <w:footnote w:type="continuationSeparator" w:id="0">
    <w:p w14:paraId="660D5F5D" w14:textId="77777777" w:rsidR="005840D9" w:rsidRDefault="0058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16D31B6"/>
    <w:multiLevelType w:val="hybridMultilevel"/>
    <w:tmpl w:val="7FCC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C21DD3"/>
    <w:multiLevelType w:val="hybridMultilevel"/>
    <w:tmpl w:val="74D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E0FFE"/>
    <w:multiLevelType w:val="hybridMultilevel"/>
    <w:tmpl w:val="4DC8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2481C"/>
    <w:multiLevelType w:val="hybridMultilevel"/>
    <w:tmpl w:val="41304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AB44D0"/>
    <w:multiLevelType w:val="hybridMultilevel"/>
    <w:tmpl w:val="65DAC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9409F"/>
    <w:multiLevelType w:val="hybridMultilevel"/>
    <w:tmpl w:val="B49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5637B8"/>
    <w:multiLevelType w:val="hybridMultilevel"/>
    <w:tmpl w:val="B71C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7A31403"/>
    <w:multiLevelType w:val="hybridMultilevel"/>
    <w:tmpl w:val="CAB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11ADD"/>
    <w:multiLevelType w:val="hybridMultilevel"/>
    <w:tmpl w:val="9ED4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D657B1"/>
    <w:multiLevelType w:val="hybridMultilevel"/>
    <w:tmpl w:val="E2E4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85116F5"/>
    <w:multiLevelType w:val="hybridMultilevel"/>
    <w:tmpl w:val="F6CC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A03166"/>
    <w:multiLevelType w:val="hybridMultilevel"/>
    <w:tmpl w:val="AC3C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24421B"/>
    <w:multiLevelType w:val="hybridMultilevel"/>
    <w:tmpl w:val="9C54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5392F"/>
    <w:multiLevelType w:val="hybridMultilevel"/>
    <w:tmpl w:val="E1A6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4D4F52"/>
    <w:multiLevelType w:val="hybridMultilevel"/>
    <w:tmpl w:val="A5A2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1"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22" w15:restartNumberingAfterBreak="0">
    <w:nsid w:val="5E2B5AA4"/>
    <w:multiLevelType w:val="hybridMultilevel"/>
    <w:tmpl w:val="0A60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7C2386"/>
    <w:multiLevelType w:val="hybridMultilevel"/>
    <w:tmpl w:val="543E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823585"/>
    <w:multiLevelType w:val="hybridMultilevel"/>
    <w:tmpl w:val="BABC6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741ED"/>
    <w:multiLevelType w:val="hybridMultilevel"/>
    <w:tmpl w:val="CB5AB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B0FBC"/>
    <w:multiLevelType w:val="hybridMultilevel"/>
    <w:tmpl w:val="87AA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3B37DC7"/>
    <w:multiLevelType w:val="hybridMultilevel"/>
    <w:tmpl w:val="0402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9D53CF5"/>
    <w:multiLevelType w:val="hybridMultilevel"/>
    <w:tmpl w:val="6EDA1C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3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1"/>
  </w:num>
  <w:num w:numId="2">
    <w:abstractNumId w:val="28"/>
  </w:num>
  <w:num w:numId="3">
    <w:abstractNumId w:val="20"/>
  </w:num>
  <w:num w:numId="4">
    <w:abstractNumId w:val="23"/>
  </w:num>
  <w:num w:numId="5">
    <w:abstractNumId w:val="33"/>
  </w:num>
  <w:num w:numId="6">
    <w:abstractNumId w:val="30"/>
  </w:num>
  <w:num w:numId="7">
    <w:abstractNumId w:val="8"/>
  </w:num>
  <w:num w:numId="8">
    <w:abstractNumId w:val="12"/>
  </w:num>
  <w:num w:numId="9">
    <w:abstractNumId w:val="34"/>
  </w:num>
  <w:num w:numId="10">
    <w:abstractNumId w:val="0"/>
  </w:num>
  <w:num w:numId="11">
    <w:abstractNumId w:val="17"/>
  </w:num>
  <w:num w:numId="12">
    <w:abstractNumId w:val="4"/>
  </w:num>
  <w:num w:numId="13">
    <w:abstractNumId w:val="4"/>
  </w:num>
  <w:num w:numId="14">
    <w:abstractNumId w:val="8"/>
  </w:num>
  <w:num w:numId="15">
    <w:abstractNumId w:val="8"/>
  </w:num>
  <w:num w:numId="16">
    <w:abstractNumId w:val="8"/>
  </w:num>
  <w:num w:numId="17">
    <w:abstractNumId w:val="8"/>
  </w:num>
  <w:num w:numId="18">
    <w:abstractNumId w:val="8"/>
  </w:num>
  <w:num w:numId="19">
    <w:abstractNumId w:val="2"/>
  </w:num>
  <w:num w:numId="20">
    <w:abstractNumId w:val="10"/>
  </w:num>
  <w:num w:numId="21">
    <w:abstractNumId w:val="19"/>
  </w:num>
  <w:num w:numId="22">
    <w:abstractNumId w:val="6"/>
  </w:num>
  <w:num w:numId="23">
    <w:abstractNumId w:val="11"/>
  </w:num>
  <w:num w:numId="24">
    <w:abstractNumId w:val="8"/>
  </w:num>
  <w:num w:numId="25">
    <w:abstractNumId w:val="8"/>
  </w:num>
  <w:num w:numId="26">
    <w:abstractNumId w:val="13"/>
  </w:num>
  <w:num w:numId="27">
    <w:abstractNumId w:val="15"/>
  </w:num>
  <w:num w:numId="28">
    <w:abstractNumId w:val="7"/>
  </w:num>
  <w:num w:numId="29">
    <w:abstractNumId w:val="24"/>
  </w:num>
  <w:num w:numId="30">
    <w:abstractNumId w:val="1"/>
  </w:num>
  <w:num w:numId="31">
    <w:abstractNumId w:val="2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27"/>
  </w:num>
  <w:num w:numId="36">
    <w:abstractNumId w:val="3"/>
  </w:num>
  <w:num w:numId="37">
    <w:abstractNumId w:val="32"/>
  </w:num>
  <w:num w:numId="38">
    <w:abstractNumId w:val="14"/>
  </w:num>
  <w:num w:numId="39">
    <w:abstractNumId w:val="18"/>
  </w:num>
  <w:num w:numId="40">
    <w:abstractNumId w:val="16"/>
  </w:num>
  <w:num w:numId="41">
    <w:abstractNumId w:val="26"/>
  </w:num>
  <w:num w:numId="42">
    <w:abstractNumId w:val="22"/>
  </w:num>
  <w:num w:numId="43">
    <w:abstractNumId w:val="8"/>
  </w:num>
  <w:num w:numId="44">
    <w:abstractNumId w:val="8"/>
  </w:num>
  <w:num w:numId="45">
    <w:abstractNumId w:val="25"/>
  </w:num>
  <w:num w:numId="4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UAutoFooter" w:val="-1"/>
    <w:docVar w:name="CUFooterText" w:val="L\346805938.1"/>
  </w:docVars>
  <w:rsids>
    <w:rsidRoot w:val="00BC38D7"/>
    <w:rsid w:val="00001ACC"/>
    <w:rsid w:val="00001C4E"/>
    <w:rsid w:val="00004481"/>
    <w:rsid w:val="00005EBB"/>
    <w:rsid w:val="0000602C"/>
    <w:rsid w:val="0001053D"/>
    <w:rsid w:val="00011F27"/>
    <w:rsid w:val="00014CA1"/>
    <w:rsid w:val="000158D0"/>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418B9"/>
    <w:rsid w:val="000420B3"/>
    <w:rsid w:val="000432C7"/>
    <w:rsid w:val="00043854"/>
    <w:rsid w:val="000440E6"/>
    <w:rsid w:val="00044F46"/>
    <w:rsid w:val="00045D43"/>
    <w:rsid w:val="00051EAD"/>
    <w:rsid w:val="000536B9"/>
    <w:rsid w:val="00054A4E"/>
    <w:rsid w:val="00060094"/>
    <w:rsid w:val="000605B8"/>
    <w:rsid w:val="00062A63"/>
    <w:rsid w:val="00062DA2"/>
    <w:rsid w:val="000632D8"/>
    <w:rsid w:val="00066176"/>
    <w:rsid w:val="000719AF"/>
    <w:rsid w:val="00073484"/>
    <w:rsid w:val="0007377E"/>
    <w:rsid w:val="00073891"/>
    <w:rsid w:val="00073953"/>
    <w:rsid w:val="0007399B"/>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44F3"/>
    <w:rsid w:val="000B55E1"/>
    <w:rsid w:val="000B5682"/>
    <w:rsid w:val="000B5C32"/>
    <w:rsid w:val="000B6601"/>
    <w:rsid w:val="000B73C5"/>
    <w:rsid w:val="000C40C9"/>
    <w:rsid w:val="000C46DB"/>
    <w:rsid w:val="000C484A"/>
    <w:rsid w:val="000C571F"/>
    <w:rsid w:val="000C74A3"/>
    <w:rsid w:val="000D0856"/>
    <w:rsid w:val="000D1997"/>
    <w:rsid w:val="000D1BC6"/>
    <w:rsid w:val="000D206C"/>
    <w:rsid w:val="000D223F"/>
    <w:rsid w:val="000D2940"/>
    <w:rsid w:val="000D61B1"/>
    <w:rsid w:val="000D7C4A"/>
    <w:rsid w:val="000D7CD0"/>
    <w:rsid w:val="000E01E6"/>
    <w:rsid w:val="000E0602"/>
    <w:rsid w:val="000E1ED4"/>
    <w:rsid w:val="000E33C7"/>
    <w:rsid w:val="000E5FFC"/>
    <w:rsid w:val="000E797D"/>
    <w:rsid w:val="000F3E25"/>
    <w:rsid w:val="000F4602"/>
    <w:rsid w:val="000F4717"/>
    <w:rsid w:val="000F4E3E"/>
    <w:rsid w:val="00100698"/>
    <w:rsid w:val="00100B05"/>
    <w:rsid w:val="0010158E"/>
    <w:rsid w:val="00101E0E"/>
    <w:rsid w:val="00101E9B"/>
    <w:rsid w:val="00102610"/>
    <w:rsid w:val="00105730"/>
    <w:rsid w:val="0010581B"/>
    <w:rsid w:val="00105E7D"/>
    <w:rsid w:val="001123DB"/>
    <w:rsid w:val="00113096"/>
    <w:rsid w:val="001173E7"/>
    <w:rsid w:val="001207B0"/>
    <w:rsid w:val="00120A50"/>
    <w:rsid w:val="001245CC"/>
    <w:rsid w:val="0012642D"/>
    <w:rsid w:val="00127111"/>
    <w:rsid w:val="001301E5"/>
    <w:rsid w:val="00130814"/>
    <w:rsid w:val="00134EC8"/>
    <w:rsid w:val="00135D81"/>
    <w:rsid w:val="00140015"/>
    <w:rsid w:val="00142E2B"/>
    <w:rsid w:val="00144A8E"/>
    <w:rsid w:val="00145DBF"/>
    <w:rsid w:val="00145E04"/>
    <w:rsid w:val="001460D6"/>
    <w:rsid w:val="001469E4"/>
    <w:rsid w:val="001475AD"/>
    <w:rsid w:val="00150034"/>
    <w:rsid w:val="00150EE2"/>
    <w:rsid w:val="001528D5"/>
    <w:rsid w:val="0016198E"/>
    <w:rsid w:val="00163811"/>
    <w:rsid w:val="00164633"/>
    <w:rsid w:val="00165BED"/>
    <w:rsid w:val="00167132"/>
    <w:rsid w:val="001672FD"/>
    <w:rsid w:val="00170253"/>
    <w:rsid w:val="0017199A"/>
    <w:rsid w:val="0017210A"/>
    <w:rsid w:val="0017328E"/>
    <w:rsid w:val="00174A65"/>
    <w:rsid w:val="00176D88"/>
    <w:rsid w:val="0017789D"/>
    <w:rsid w:val="001803E3"/>
    <w:rsid w:val="001809A1"/>
    <w:rsid w:val="00180AA9"/>
    <w:rsid w:val="001821CC"/>
    <w:rsid w:val="00182703"/>
    <w:rsid w:val="0018383F"/>
    <w:rsid w:val="00184BB1"/>
    <w:rsid w:val="001853F1"/>
    <w:rsid w:val="001867F2"/>
    <w:rsid w:val="00186DE3"/>
    <w:rsid w:val="00187581"/>
    <w:rsid w:val="001900C5"/>
    <w:rsid w:val="0019029D"/>
    <w:rsid w:val="0019055D"/>
    <w:rsid w:val="0019269A"/>
    <w:rsid w:val="00194872"/>
    <w:rsid w:val="00195225"/>
    <w:rsid w:val="00197EF2"/>
    <w:rsid w:val="001A255D"/>
    <w:rsid w:val="001A2869"/>
    <w:rsid w:val="001A28F9"/>
    <w:rsid w:val="001A4CEB"/>
    <w:rsid w:val="001B0530"/>
    <w:rsid w:val="001B0CEF"/>
    <w:rsid w:val="001B1919"/>
    <w:rsid w:val="001B39DF"/>
    <w:rsid w:val="001B4E46"/>
    <w:rsid w:val="001B714A"/>
    <w:rsid w:val="001C04AA"/>
    <w:rsid w:val="001C5F01"/>
    <w:rsid w:val="001C7C62"/>
    <w:rsid w:val="001C7FA6"/>
    <w:rsid w:val="001D012E"/>
    <w:rsid w:val="001D1660"/>
    <w:rsid w:val="001D26DE"/>
    <w:rsid w:val="001D2BDE"/>
    <w:rsid w:val="001D3826"/>
    <w:rsid w:val="001D4D67"/>
    <w:rsid w:val="001E1515"/>
    <w:rsid w:val="001E1E12"/>
    <w:rsid w:val="001E46C7"/>
    <w:rsid w:val="001E5656"/>
    <w:rsid w:val="001E5EA3"/>
    <w:rsid w:val="001E69D7"/>
    <w:rsid w:val="001E7E5E"/>
    <w:rsid w:val="001F4C8A"/>
    <w:rsid w:val="001F5360"/>
    <w:rsid w:val="001F5439"/>
    <w:rsid w:val="001F5727"/>
    <w:rsid w:val="001F7837"/>
    <w:rsid w:val="0020270F"/>
    <w:rsid w:val="0020365B"/>
    <w:rsid w:val="002046DC"/>
    <w:rsid w:val="00205DD2"/>
    <w:rsid w:val="002066FF"/>
    <w:rsid w:val="0020684E"/>
    <w:rsid w:val="00210F8C"/>
    <w:rsid w:val="002149AA"/>
    <w:rsid w:val="0021665F"/>
    <w:rsid w:val="0021694E"/>
    <w:rsid w:val="00220799"/>
    <w:rsid w:val="002207D1"/>
    <w:rsid w:val="00221491"/>
    <w:rsid w:val="002234C7"/>
    <w:rsid w:val="00225A25"/>
    <w:rsid w:val="00225D08"/>
    <w:rsid w:val="00226C6D"/>
    <w:rsid w:val="00231E2D"/>
    <w:rsid w:val="00231E5F"/>
    <w:rsid w:val="002326C0"/>
    <w:rsid w:val="002342EC"/>
    <w:rsid w:val="00241DA3"/>
    <w:rsid w:val="00243673"/>
    <w:rsid w:val="00243CB9"/>
    <w:rsid w:val="00243DF1"/>
    <w:rsid w:val="00244517"/>
    <w:rsid w:val="00244F52"/>
    <w:rsid w:val="00245ED5"/>
    <w:rsid w:val="00247791"/>
    <w:rsid w:val="00247ACA"/>
    <w:rsid w:val="0025094A"/>
    <w:rsid w:val="00251BCC"/>
    <w:rsid w:val="002534A5"/>
    <w:rsid w:val="002542CC"/>
    <w:rsid w:val="002629C6"/>
    <w:rsid w:val="00262AFD"/>
    <w:rsid w:val="00263316"/>
    <w:rsid w:val="002638A0"/>
    <w:rsid w:val="00263E58"/>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81E18"/>
    <w:rsid w:val="00283B90"/>
    <w:rsid w:val="0028622F"/>
    <w:rsid w:val="00287BBF"/>
    <w:rsid w:val="00291729"/>
    <w:rsid w:val="0029351F"/>
    <w:rsid w:val="002938B9"/>
    <w:rsid w:val="002967EB"/>
    <w:rsid w:val="0029758B"/>
    <w:rsid w:val="00297C12"/>
    <w:rsid w:val="002A0C3F"/>
    <w:rsid w:val="002A138A"/>
    <w:rsid w:val="002A1504"/>
    <w:rsid w:val="002A2889"/>
    <w:rsid w:val="002A2895"/>
    <w:rsid w:val="002A3195"/>
    <w:rsid w:val="002A5AA2"/>
    <w:rsid w:val="002B24D2"/>
    <w:rsid w:val="002B2E4F"/>
    <w:rsid w:val="002C0E80"/>
    <w:rsid w:val="002C10CD"/>
    <w:rsid w:val="002C25D6"/>
    <w:rsid w:val="002C3133"/>
    <w:rsid w:val="002C64F2"/>
    <w:rsid w:val="002D0906"/>
    <w:rsid w:val="002D30FD"/>
    <w:rsid w:val="002D406D"/>
    <w:rsid w:val="002D4E27"/>
    <w:rsid w:val="002E1009"/>
    <w:rsid w:val="002E1171"/>
    <w:rsid w:val="002E33E4"/>
    <w:rsid w:val="002E3B93"/>
    <w:rsid w:val="002E4A87"/>
    <w:rsid w:val="002E6B2B"/>
    <w:rsid w:val="002F025C"/>
    <w:rsid w:val="002F119C"/>
    <w:rsid w:val="002F32E3"/>
    <w:rsid w:val="002F3B58"/>
    <w:rsid w:val="002F3F8A"/>
    <w:rsid w:val="00300036"/>
    <w:rsid w:val="00303A71"/>
    <w:rsid w:val="003058F3"/>
    <w:rsid w:val="003065DB"/>
    <w:rsid w:val="00306A16"/>
    <w:rsid w:val="0030747E"/>
    <w:rsid w:val="003079B9"/>
    <w:rsid w:val="00310562"/>
    <w:rsid w:val="00313A23"/>
    <w:rsid w:val="00314DD5"/>
    <w:rsid w:val="00316544"/>
    <w:rsid w:val="00317E1D"/>
    <w:rsid w:val="00320148"/>
    <w:rsid w:val="0032115F"/>
    <w:rsid w:val="00322BBD"/>
    <w:rsid w:val="00325943"/>
    <w:rsid w:val="003330D3"/>
    <w:rsid w:val="00333207"/>
    <w:rsid w:val="003335D6"/>
    <w:rsid w:val="00334426"/>
    <w:rsid w:val="00335411"/>
    <w:rsid w:val="003356F5"/>
    <w:rsid w:val="00335B0B"/>
    <w:rsid w:val="003374FD"/>
    <w:rsid w:val="00340EB3"/>
    <w:rsid w:val="00341615"/>
    <w:rsid w:val="00341AB9"/>
    <w:rsid w:val="00342691"/>
    <w:rsid w:val="0034354A"/>
    <w:rsid w:val="00343E65"/>
    <w:rsid w:val="00346A41"/>
    <w:rsid w:val="00347703"/>
    <w:rsid w:val="003514CF"/>
    <w:rsid w:val="0035343D"/>
    <w:rsid w:val="00353C51"/>
    <w:rsid w:val="003544FF"/>
    <w:rsid w:val="003566FF"/>
    <w:rsid w:val="00361FF9"/>
    <w:rsid w:val="00362F5D"/>
    <w:rsid w:val="00363448"/>
    <w:rsid w:val="00364B5D"/>
    <w:rsid w:val="00367D09"/>
    <w:rsid w:val="0037111E"/>
    <w:rsid w:val="003711BE"/>
    <w:rsid w:val="0037126E"/>
    <w:rsid w:val="003765B7"/>
    <w:rsid w:val="003846D6"/>
    <w:rsid w:val="00385748"/>
    <w:rsid w:val="0038645A"/>
    <w:rsid w:val="00386E6C"/>
    <w:rsid w:val="00390710"/>
    <w:rsid w:val="00390CCF"/>
    <w:rsid w:val="00392F6A"/>
    <w:rsid w:val="003941FE"/>
    <w:rsid w:val="00396695"/>
    <w:rsid w:val="00397438"/>
    <w:rsid w:val="00397C70"/>
    <w:rsid w:val="003A367C"/>
    <w:rsid w:val="003A4074"/>
    <w:rsid w:val="003A46B4"/>
    <w:rsid w:val="003A6208"/>
    <w:rsid w:val="003A6546"/>
    <w:rsid w:val="003B08BE"/>
    <w:rsid w:val="003B311B"/>
    <w:rsid w:val="003B634A"/>
    <w:rsid w:val="003B7960"/>
    <w:rsid w:val="003C2D73"/>
    <w:rsid w:val="003C2EE9"/>
    <w:rsid w:val="003C3A88"/>
    <w:rsid w:val="003C57CB"/>
    <w:rsid w:val="003D108C"/>
    <w:rsid w:val="003D1B1E"/>
    <w:rsid w:val="003D3DA2"/>
    <w:rsid w:val="003D7B3D"/>
    <w:rsid w:val="003D7E18"/>
    <w:rsid w:val="003E0E34"/>
    <w:rsid w:val="003E0F2C"/>
    <w:rsid w:val="003E15A2"/>
    <w:rsid w:val="003E2078"/>
    <w:rsid w:val="003E33A9"/>
    <w:rsid w:val="003E5FA5"/>
    <w:rsid w:val="003E74EC"/>
    <w:rsid w:val="003F0BF7"/>
    <w:rsid w:val="003F1590"/>
    <w:rsid w:val="003F20E1"/>
    <w:rsid w:val="003F3F31"/>
    <w:rsid w:val="003F61DD"/>
    <w:rsid w:val="003F7E1C"/>
    <w:rsid w:val="0040035A"/>
    <w:rsid w:val="00401AA7"/>
    <w:rsid w:val="00402B83"/>
    <w:rsid w:val="0040316A"/>
    <w:rsid w:val="004053B5"/>
    <w:rsid w:val="00405ECF"/>
    <w:rsid w:val="00405EE6"/>
    <w:rsid w:val="00407334"/>
    <w:rsid w:val="004078D9"/>
    <w:rsid w:val="00413639"/>
    <w:rsid w:val="00414432"/>
    <w:rsid w:val="00414E74"/>
    <w:rsid w:val="00417C09"/>
    <w:rsid w:val="00420568"/>
    <w:rsid w:val="0042182D"/>
    <w:rsid w:val="00422BE7"/>
    <w:rsid w:val="00423CE1"/>
    <w:rsid w:val="004242FE"/>
    <w:rsid w:val="00424FE3"/>
    <w:rsid w:val="00426973"/>
    <w:rsid w:val="004270C6"/>
    <w:rsid w:val="00427F50"/>
    <w:rsid w:val="00431306"/>
    <w:rsid w:val="00431D8A"/>
    <w:rsid w:val="0043209C"/>
    <w:rsid w:val="004329AA"/>
    <w:rsid w:val="00432DDE"/>
    <w:rsid w:val="00433565"/>
    <w:rsid w:val="00436B51"/>
    <w:rsid w:val="00442D56"/>
    <w:rsid w:val="004465E1"/>
    <w:rsid w:val="00447E45"/>
    <w:rsid w:val="00450BF3"/>
    <w:rsid w:val="00451470"/>
    <w:rsid w:val="004518CD"/>
    <w:rsid w:val="004523F4"/>
    <w:rsid w:val="00453861"/>
    <w:rsid w:val="00454690"/>
    <w:rsid w:val="00455212"/>
    <w:rsid w:val="00455F27"/>
    <w:rsid w:val="0046110A"/>
    <w:rsid w:val="00462DF3"/>
    <w:rsid w:val="0046391E"/>
    <w:rsid w:val="00465DF4"/>
    <w:rsid w:val="004669F0"/>
    <w:rsid w:val="00466BEB"/>
    <w:rsid w:val="00467B76"/>
    <w:rsid w:val="004702CB"/>
    <w:rsid w:val="0047235B"/>
    <w:rsid w:val="004746AB"/>
    <w:rsid w:val="0047544B"/>
    <w:rsid w:val="004759EC"/>
    <w:rsid w:val="004760CC"/>
    <w:rsid w:val="00476C7F"/>
    <w:rsid w:val="004828FF"/>
    <w:rsid w:val="00484315"/>
    <w:rsid w:val="00484705"/>
    <w:rsid w:val="00486786"/>
    <w:rsid w:val="00487AF5"/>
    <w:rsid w:val="00491F56"/>
    <w:rsid w:val="004933D1"/>
    <w:rsid w:val="00495AEE"/>
    <w:rsid w:val="00496A68"/>
    <w:rsid w:val="004A43B4"/>
    <w:rsid w:val="004A62BA"/>
    <w:rsid w:val="004A63B3"/>
    <w:rsid w:val="004A6693"/>
    <w:rsid w:val="004A6CC8"/>
    <w:rsid w:val="004A76DF"/>
    <w:rsid w:val="004B145A"/>
    <w:rsid w:val="004B1DE7"/>
    <w:rsid w:val="004B35CE"/>
    <w:rsid w:val="004B4834"/>
    <w:rsid w:val="004B5C21"/>
    <w:rsid w:val="004B6563"/>
    <w:rsid w:val="004B7AB6"/>
    <w:rsid w:val="004C02D8"/>
    <w:rsid w:val="004C473E"/>
    <w:rsid w:val="004C5141"/>
    <w:rsid w:val="004C58C7"/>
    <w:rsid w:val="004C5DDB"/>
    <w:rsid w:val="004C6436"/>
    <w:rsid w:val="004C7C17"/>
    <w:rsid w:val="004D0F8A"/>
    <w:rsid w:val="004D3336"/>
    <w:rsid w:val="004D3C14"/>
    <w:rsid w:val="004D5A45"/>
    <w:rsid w:val="004D6C68"/>
    <w:rsid w:val="004D6F20"/>
    <w:rsid w:val="004E04FC"/>
    <w:rsid w:val="004E13B0"/>
    <w:rsid w:val="004E24E1"/>
    <w:rsid w:val="004E4096"/>
    <w:rsid w:val="004E41F4"/>
    <w:rsid w:val="004E5064"/>
    <w:rsid w:val="004E5582"/>
    <w:rsid w:val="004E5889"/>
    <w:rsid w:val="004E672E"/>
    <w:rsid w:val="004F1ABA"/>
    <w:rsid w:val="004F4557"/>
    <w:rsid w:val="004F5AD5"/>
    <w:rsid w:val="00500AA1"/>
    <w:rsid w:val="00500E82"/>
    <w:rsid w:val="00500FC1"/>
    <w:rsid w:val="00504571"/>
    <w:rsid w:val="00511F7E"/>
    <w:rsid w:val="0051220A"/>
    <w:rsid w:val="00513CD9"/>
    <w:rsid w:val="00514112"/>
    <w:rsid w:val="00517922"/>
    <w:rsid w:val="00517ACA"/>
    <w:rsid w:val="0052078A"/>
    <w:rsid w:val="00521B0B"/>
    <w:rsid w:val="00523F11"/>
    <w:rsid w:val="005250BD"/>
    <w:rsid w:val="00525289"/>
    <w:rsid w:val="0052594A"/>
    <w:rsid w:val="00525EEC"/>
    <w:rsid w:val="00532C0D"/>
    <w:rsid w:val="00535211"/>
    <w:rsid w:val="00536525"/>
    <w:rsid w:val="0053671A"/>
    <w:rsid w:val="00536B65"/>
    <w:rsid w:val="00536F25"/>
    <w:rsid w:val="00540510"/>
    <w:rsid w:val="0054591D"/>
    <w:rsid w:val="0055109A"/>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40D9"/>
    <w:rsid w:val="0058591C"/>
    <w:rsid w:val="00585DF7"/>
    <w:rsid w:val="00587A91"/>
    <w:rsid w:val="00587E72"/>
    <w:rsid w:val="0059225E"/>
    <w:rsid w:val="00592260"/>
    <w:rsid w:val="0059382A"/>
    <w:rsid w:val="00594C9E"/>
    <w:rsid w:val="00595886"/>
    <w:rsid w:val="00595B54"/>
    <w:rsid w:val="00597762"/>
    <w:rsid w:val="005A1454"/>
    <w:rsid w:val="005A3869"/>
    <w:rsid w:val="005A38C1"/>
    <w:rsid w:val="005A5E5C"/>
    <w:rsid w:val="005A6D88"/>
    <w:rsid w:val="005B5F3D"/>
    <w:rsid w:val="005B5F9B"/>
    <w:rsid w:val="005C33D3"/>
    <w:rsid w:val="005C5711"/>
    <w:rsid w:val="005C7661"/>
    <w:rsid w:val="005D010C"/>
    <w:rsid w:val="005D044B"/>
    <w:rsid w:val="005D06F4"/>
    <w:rsid w:val="005D0B5F"/>
    <w:rsid w:val="005D13DD"/>
    <w:rsid w:val="005D3FE2"/>
    <w:rsid w:val="005D44CA"/>
    <w:rsid w:val="005D453B"/>
    <w:rsid w:val="005D5AC0"/>
    <w:rsid w:val="005D67AD"/>
    <w:rsid w:val="005D7B9F"/>
    <w:rsid w:val="005E17B1"/>
    <w:rsid w:val="005E21F5"/>
    <w:rsid w:val="005E305C"/>
    <w:rsid w:val="005E750B"/>
    <w:rsid w:val="005E75B1"/>
    <w:rsid w:val="005F200D"/>
    <w:rsid w:val="005F6796"/>
    <w:rsid w:val="005F74D9"/>
    <w:rsid w:val="00600360"/>
    <w:rsid w:val="00601656"/>
    <w:rsid w:val="006061F7"/>
    <w:rsid w:val="00610B12"/>
    <w:rsid w:val="006117F4"/>
    <w:rsid w:val="0061494E"/>
    <w:rsid w:val="0061569D"/>
    <w:rsid w:val="006169C9"/>
    <w:rsid w:val="00620799"/>
    <w:rsid w:val="006233B4"/>
    <w:rsid w:val="0062469F"/>
    <w:rsid w:val="0062473E"/>
    <w:rsid w:val="006304DF"/>
    <w:rsid w:val="00631AD8"/>
    <w:rsid w:val="00631B92"/>
    <w:rsid w:val="006328F1"/>
    <w:rsid w:val="00634EDE"/>
    <w:rsid w:val="0063573C"/>
    <w:rsid w:val="00635D2B"/>
    <w:rsid w:val="00635FCC"/>
    <w:rsid w:val="006412F1"/>
    <w:rsid w:val="00643BB2"/>
    <w:rsid w:val="00646AE5"/>
    <w:rsid w:val="00646BEC"/>
    <w:rsid w:val="006471D1"/>
    <w:rsid w:val="00647605"/>
    <w:rsid w:val="00647B3A"/>
    <w:rsid w:val="00652478"/>
    <w:rsid w:val="00653333"/>
    <w:rsid w:val="00654322"/>
    <w:rsid w:val="00656AEF"/>
    <w:rsid w:val="00657476"/>
    <w:rsid w:val="00661AD7"/>
    <w:rsid w:val="0066350A"/>
    <w:rsid w:val="00663602"/>
    <w:rsid w:val="00664B5F"/>
    <w:rsid w:val="00664FB5"/>
    <w:rsid w:val="00665923"/>
    <w:rsid w:val="0066622D"/>
    <w:rsid w:val="00667A0D"/>
    <w:rsid w:val="00670258"/>
    <w:rsid w:val="00671821"/>
    <w:rsid w:val="006726B2"/>
    <w:rsid w:val="00673F5E"/>
    <w:rsid w:val="00675674"/>
    <w:rsid w:val="006767E0"/>
    <w:rsid w:val="0068308D"/>
    <w:rsid w:val="006844ED"/>
    <w:rsid w:val="006912C7"/>
    <w:rsid w:val="0069390B"/>
    <w:rsid w:val="0069610E"/>
    <w:rsid w:val="006A0FFC"/>
    <w:rsid w:val="006A1F40"/>
    <w:rsid w:val="006A22CA"/>
    <w:rsid w:val="006A28F7"/>
    <w:rsid w:val="006A489D"/>
    <w:rsid w:val="006A5A0C"/>
    <w:rsid w:val="006A7FF4"/>
    <w:rsid w:val="006B33A2"/>
    <w:rsid w:val="006B3C99"/>
    <w:rsid w:val="006B593D"/>
    <w:rsid w:val="006B7787"/>
    <w:rsid w:val="006C1E42"/>
    <w:rsid w:val="006C3A0F"/>
    <w:rsid w:val="006C4375"/>
    <w:rsid w:val="006C43AB"/>
    <w:rsid w:val="006C5276"/>
    <w:rsid w:val="006C5FB0"/>
    <w:rsid w:val="006D2FD0"/>
    <w:rsid w:val="006D2FFE"/>
    <w:rsid w:val="006D3BA4"/>
    <w:rsid w:val="006D4FE9"/>
    <w:rsid w:val="006E0BCF"/>
    <w:rsid w:val="006E1B97"/>
    <w:rsid w:val="006E2784"/>
    <w:rsid w:val="006E2EF8"/>
    <w:rsid w:val="006E5250"/>
    <w:rsid w:val="006E54E8"/>
    <w:rsid w:val="006E5F50"/>
    <w:rsid w:val="006E7914"/>
    <w:rsid w:val="006F039E"/>
    <w:rsid w:val="006F16E6"/>
    <w:rsid w:val="006F3DBD"/>
    <w:rsid w:val="006F64C2"/>
    <w:rsid w:val="006F6FFE"/>
    <w:rsid w:val="00700445"/>
    <w:rsid w:val="00702128"/>
    <w:rsid w:val="007036E1"/>
    <w:rsid w:val="007038C8"/>
    <w:rsid w:val="00703B23"/>
    <w:rsid w:val="00704131"/>
    <w:rsid w:val="007059A3"/>
    <w:rsid w:val="007059E7"/>
    <w:rsid w:val="00706E24"/>
    <w:rsid w:val="00707B16"/>
    <w:rsid w:val="00707C81"/>
    <w:rsid w:val="007104E2"/>
    <w:rsid w:val="007110F6"/>
    <w:rsid w:val="00711F11"/>
    <w:rsid w:val="00712C46"/>
    <w:rsid w:val="00713066"/>
    <w:rsid w:val="00717291"/>
    <w:rsid w:val="00717734"/>
    <w:rsid w:val="00717FAF"/>
    <w:rsid w:val="00720B9D"/>
    <w:rsid w:val="00722A01"/>
    <w:rsid w:val="00723213"/>
    <w:rsid w:val="00723A4A"/>
    <w:rsid w:val="00724F80"/>
    <w:rsid w:val="00725A61"/>
    <w:rsid w:val="00726827"/>
    <w:rsid w:val="00732181"/>
    <w:rsid w:val="007322DF"/>
    <w:rsid w:val="0073379A"/>
    <w:rsid w:val="00734F44"/>
    <w:rsid w:val="007413C7"/>
    <w:rsid w:val="0074399B"/>
    <w:rsid w:val="007453C6"/>
    <w:rsid w:val="007478BB"/>
    <w:rsid w:val="00750150"/>
    <w:rsid w:val="00750F5C"/>
    <w:rsid w:val="00751803"/>
    <w:rsid w:val="00755B2E"/>
    <w:rsid w:val="00757151"/>
    <w:rsid w:val="0076308F"/>
    <w:rsid w:val="00765605"/>
    <w:rsid w:val="00766469"/>
    <w:rsid w:val="00766F39"/>
    <w:rsid w:val="007730EF"/>
    <w:rsid w:val="00773565"/>
    <w:rsid w:val="00773FC4"/>
    <w:rsid w:val="00775CB8"/>
    <w:rsid w:val="00776918"/>
    <w:rsid w:val="00781A5F"/>
    <w:rsid w:val="007841D5"/>
    <w:rsid w:val="007870B6"/>
    <w:rsid w:val="0078721D"/>
    <w:rsid w:val="00794707"/>
    <w:rsid w:val="0079535B"/>
    <w:rsid w:val="00795B62"/>
    <w:rsid w:val="00797D14"/>
    <w:rsid w:val="007A0E5E"/>
    <w:rsid w:val="007A2791"/>
    <w:rsid w:val="007A2EAC"/>
    <w:rsid w:val="007A429E"/>
    <w:rsid w:val="007A4954"/>
    <w:rsid w:val="007A7167"/>
    <w:rsid w:val="007B09FA"/>
    <w:rsid w:val="007B1001"/>
    <w:rsid w:val="007B1234"/>
    <w:rsid w:val="007B1D3A"/>
    <w:rsid w:val="007B25A9"/>
    <w:rsid w:val="007B5446"/>
    <w:rsid w:val="007C6660"/>
    <w:rsid w:val="007C6932"/>
    <w:rsid w:val="007C733E"/>
    <w:rsid w:val="007C7B27"/>
    <w:rsid w:val="007C7C31"/>
    <w:rsid w:val="007D086F"/>
    <w:rsid w:val="007E121A"/>
    <w:rsid w:val="007E311A"/>
    <w:rsid w:val="007E34EC"/>
    <w:rsid w:val="007E39B0"/>
    <w:rsid w:val="007E3AB4"/>
    <w:rsid w:val="007E5529"/>
    <w:rsid w:val="007E5AB2"/>
    <w:rsid w:val="007E6EF3"/>
    <w:rsid w:val="007F0B81"/>
    <w:rsid w:val="007F5BEB"/>
    <w:rsid w:val="007F5D34"/>
    <w:rsid w:val="007F785F"/>
    <w:rsid w:val="00802668"/>
    <w:rsid w:val="00802F91"/>
    <w:rsid w:val="008046AF"/>
    <w:rsid w:val="00811AA2"/>
    <w:rsid w:val="00811E8D"/>
    <w:rsid w:val="00813A1B"/>
    <w:rsid w:val="00814848"/>
    <w:rsid w:val="00816372"/>
    <w:rsid w:val="00820786"/>
    <w:rsid w:val="00821417"/>
    <w:rsid w:val="00823429"/>
    <w:rsid w:val="00826BFE"/>
    <w:rsid w:val="008301D5"/>
    <w:rsid w:val="00830AAE"/>
    <w:rsid w:val="00830E5F"/>
    <w:rsid w:val="00831D22"/>
    <w:rsid w:val="008322E3"/>
    <w:rsid w:val="008344E5"/>
    <w:rsid w:val="0083559B"/>
    <w:rsid w:val="00835988"/>
    <w:rsid w:val="00836288"/>
    <w:rsid w:val="00836C92"/>
    <w:rsid w:val="008371E1"/>
    <w:rsid w:val="00840030"/>
    <w:rsid w:val="00841ADA"/>
    <w:rsid w:val="00844631"/>
    <w:rsid w:val="008448AC"/>
    <w:rsid w:val="0084782E"/>
    <w:rsid w:val="0085109C"/>
    <w:rsid w:val="008535C9"/>
    <w:rsid w:val="00853AA1"/>
    <w:rsid w:val="008572D0"/>
    <w:rsid w:val="00857AAB"/>
    <w:rsid w:val="00863C8C"/>
    <w:rsid w:val="008640A3"/>
    <w:rsid w:val="008716C6"/>
    <w:rsid w:val="00871D1F"/>
    <w:rsid w:val="00872743"/>
    <w:rsid w:val="008743FB"/>
    <w:rsid w:val="00874676"/>
    <w:rsid w:val="00880561"/>
    <w:rsid w:val="008807F4"/>
    <w:rsid w:val="00881515"/>
    <w:rsid w:val="008844F2"/>
    <w:rsid w:val="008849D0"/>
    <w:rsid w:val="0088518E"/>
    <w:rsid w:val="00885787"/>
    <w:rsid w:val="00895997"/>
    <w:rsid w:val="00895ECE"/>
    <w:rsid w:val="00896224"/>
    <w:rsid w:val="00897AC8"/>
    <w:rsid w:val="00897C95"/>
    <w:rsid w:val="008A017C"/>
    <w:rsid w:val="008A111C"/>
    <w:rsid w:val="008A125D"/>
    <w:rsid w:val="008A3BB1"/>
    <w:rsid w:val="008A67EC"/>
    <w:rsid w:val="008A7AB3"/>
    <w:rsid w:val="008B2627"/>
    <w:rsid w:val="008B2C98"/>
    <w:rsid w:val="008B4543"/>
    <w:rsid w:val="008B5209"/>
    <w:rsid w:val="008B5958"/>
    <w:rsid w:val="008B74B9"/>
    <w:rsid w:val="008C09F1"/>
    <w:rsid w:val="008C240F"/>
    <w:rsid w:val="008C3107"/>
    <w:rsid w:val="008C3C82"/>
    <w:rsid w:val="008C4D02"/>
    <w:rsid w:val="008C5106"/>
    <w:rsid w:val="008C51D8"/>
    <w:rsid w:val="008C673E"/>
    <w:rsid w:val="008D2405"/>
    <w:rsid w:val="008D3D32"/>
    <w:rsid w:val="008D5D1A"/>
    <w:rsid w:val="008D7495"/>
    <w:rsid w:val="008D7A2E"/>
    <w:rsid w:val="008E4ACF"/>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3C93"/>
    <w:rsid w:val="0091551C"/>
    <w:rsid w:val="00921253"/>
    <w:rsid w:val="00922BBB"/>
    <w:rsid w:val="00925B2E"/>
    <w:rsid w:val="0092755A"/>
    <w:rsid w:val="00930241"/>
    <w:rsid w:val="00932F17"/>
    <w:rsid w:val="00933AE7"/>
    <w:rsid w:val="00933D1C"/>
    <w:rsid w:val="00935C0C"/>
    <w:rsid w:val="009375C8"/>
    <w:rsid w:val="009415A0"/>
    <w:rsid w:val="00941A6E"/>
    <w:rsid w:val="00942708"/>
    <w:rsid w:val="0094637E"/>
    <w:rsid w:val="0094654B"/>
    <w:rsid w:val="00952D13"/>
    <w:rsid w:val="00953AD0"/>
    <w:rsid w:val="00953B39"/>
    <w:rsid w:val="00953DA7"/>
    <w:rsid w:val="009541D1"/>
    <w:rsid w:val="0096031E"/>
    <w:rsid w:val="00961A83"/>
    <w:rsid w:val="00970374"/>
    <w:rsid w:val="009725ED"/>
    <w:rsid w:val="00974135"/>
    <w:rsid w:val="009749A8"/>
    <w:rsid w:val="00975EF6"/>
    <w:rsid w:val="00976095"/>
    <w:rsid w:val="00976C3F"/>
    <w:rsid w:val="00982FBB"/>
    <w:rsid w:val="00986BDA"/>
    <w:rsid w:val="00987CD2"/>
    <w:rsid w:val="009901F6"/>
    <w:rsid w:val="00991676"/>
    <w:rsid w:val="00991733"/>
    <w:rsid w:val="0099401F"/>
    <w:rsid w:val="0099580B"/>
    <w:rsid w:val="00997147"/>
    <w:rsid w:val="00997ED6"/>
    <w:rsid w:val="009A37CD"/>
    <w:rsid w:val="009B12B9"/>
    <w:rsid w:val="009B13DB"/>
    <w:rsid w:val="009B2D34"/>
    <w:rsid w:val="009B6D8D"/>
    <w:rsid w:val="009C5848"/>
    <w:rsid w:val="009C6431"/>
    <w:rsid w:val="009C7AD8"/>
    <w:rsid w:val="009D008D"/>
    <w:rsid w:val="009D2B4D"/>
    <w:rsid w:val="009D4823"/>
    <w:rsid w:val="009D744F"/>
    <w:rsid w:val="009E06FE"/>
    <w:rsid w:val="009E0F8A"/>
    <w:rsid w:val="009E2AC6"/>
    <w:rsid w:val="009E3758"/>
    <w:rsid w:val="009E4471"/>
    <w:rsid w:val="009E44D3"/>
    <w:rsid w:val="009E6858"/>
    <w:rsid w:val="009E76C1"/>
    <w:rsid w:val="009F2A95"/>
    <w:rsid w:val="009F3CF6"/>
    <w:rsid w:val="009F4875"/>
    <w:rsid w:val="009F4A6B"/>
    <w:rsid w:val="009F67F9"/>
    <w:rsid w:val="009F7A98"/>
    <w:rsid w:val="00A0170D"/>
    <w:rsid w:val="00A01930"/>
    <w:rsid w:val="00A03BFB"/>
    <w:rsid w:val="00A0671A"/>
    <w:rsid w:val="00A07509"/>
    <w:rsid w:val="00A1268B"/>
    <w:rsid w:val="00A13D85"/>
    <w:rsid w:val="00A15BAC"/>
    <w:rsid w:val="00A17818"/>
    <w:rsid w:val="00A17A2A"/>
    <w:rsid w:val="00A20B59"/>
    <w:rsid w:val="00A23142"/>
    <w:rsid w:val="00A23D76"/>
    <w:rsid w:val="00A24430"/>
    <w:rsid w:val="00A24B2C"/>
    <w:rsid w:val="00A259E1"/>
    <w:rsid w:val="00A315C0"/>
    <w:rsid w:val="00A3291E"/>
    <w:rsid w:val="00A32BA8"/>
    <w:rsid w:val="00A34022"/>
    <w:rsid w:val="00A34661"/>
    <w:rsid w:val="00A3764E"/>
    <w:rsid w:val="00A37D51"/>
    <w:rsid w:val="00A40B86"/>
    <w:rsid w:val="00A42327"/>
    <w:rsid w:val="00A43734"/>
    <w:rsid w:val="00A45461"/>
    <w:rsid w:val="00A46276"/>
    <w:rsid w:val="00A552FD"/>
    <w:rsid w:val="00A56469"/>
    <w:rsid w:val="00A604D5"/>
    <w:rsid w:val="00A60D69"/>
    <w:rsid w:val="00A63336"/>
    <w:rsid w:val="00A63487"/>
    <w:rsid w:val="00A63B6D"/>
    <w:rsid w:val="00A70746"/>
    <w:rsid w:val="00A7186E"/>
    <w:rsid w:val="00A71B54"/>
    <w:rsid w:val="00A75636"/>
    <w:rsid w:val="00A77810"/>
    <w:rsid w:val="00A779BD"/>
    <w:rsid w:val="00A80AE9"/>
    <w:rsid w:val="00A81117"/>
    <w:rsid w:val="00A834A2"/>
    <w:rsid w:val="00A87B94"/>
    <w:rsid w:val="00A93085"/>
    <w:rsid w:val="00A9414D"/>
    <w:rsid w:val="00A954D6"/>
    <w:rsid w:val="00A9574A"/>
    <w:rsid w:val="00AA15B9"/>
    <w:rsid w:val="00AA20C0"/>
    <w:rsid w:val="00AA2647"/>
    <w:rsid w:val="00AA5FA6"/>
    <w:rsid w:val="00AA60FC"/>
    <w:rsid w:val="00AA6FD6"/>
    <w:rsid w:val="00AB1D8A"/>
    <w:rsid w:val="00AB201B"/>
    <w:rsid w:val="00AB31CE"/>
    <w:rsid w:val="00AB41FC"/>
    <w:rsid w:val="00AB540A"/>
    <w:rsid w:val="00AB6098"/>
    <w:rsid w:val="00AC2F5A"/>
    <w:rsid w:val="00AC4E96"/>
    <w:rsid w:val="00AC559B"/>
    <w:rsid w:val="00AC5F68"/>
    <w:rsid w:val="00AD048C"/>
    <w:rsid w:val="00AD2636"/>
    <w:rsid w:val="00AD5064"/>
    <w:rsid w:val="00AD5B4A"/>
    <w:rsid w:val="00AD6A26"/>
    <w:rsid w:val="00AD7983"/>
    <w:rsid w:val="00AE10ED"/>
    <w:rsid w:val="00AE11E5"/>
    <w:rsid w:val="00AE191C"/>
    <w:rsid w:val="00AE2B73"/>
    <w:rsid w:val="00AE467B"/>
    <w:rsid w:val="00AE7D09"/>
    <w:rsid w:val="00AF559A"/>
    <w:rsid w:val="00AF629D"/>
    <w:rsid w:val="00B0006C"/>
    <w:rsid w:val="00B006F3"/>
    <w:rsid w:val="00B01D27"/>
    <w:rsid w:val="00B0301D"/>
    <w:rsid w:val="00B0512F"/>
    <w:rsid w:val="00B1039F"/>
    <w:rsid w:val="00B11ADD"/>
    <w:rsid w:val="00B12938"/>
    <w:rsid w:val="00B1439B"/>
    <w:rsid w:val="00B15060"/>
    <w:rsid w:val="00B2503A"/>
    <w:rsid w:val="00B261A9"/>
    <w:rsid w:val="00B30960"/>
    <w:rsid w:val="00B315F9"/>
    <w:rsid w:val="00B443CA"/>
    <w:rsid w:val="00B458D5"/>
    <w:rsid w:val="00B552AE"/>
    <w:rsid w:val="00B55889"/>
    <w:rsid w:val="00B576D7"/>
    <w:rsid w:val="00B63F27"/>
    <w:rsid w:val="00B64C82"/>
    <w:rsid w:val="00B64D9B"/>
    <w:rsid w:val="00B667F8"/>
    <w:rsid w:val="00B7022B"/>
    <w:rsid w:val="00B717C9"/>
    <w:rsid w:val="00B83228"/>
    <w:rsid w:val="00B93D51"/>
    <w:rsid w:val="00B93DE4"/>
    <w:rsid w:val="00B9557B"/>
    <w:rsid w:val="00B957A7"/>
    <w:rsid w:val="00B97095"/>
    <w:rsid w:val="00BA23C8"/>
    <w:rsid w:val="00BA2DBC"/>
    <w:rsid w:val="00BA4E9E"/>
    <w:rsid w:val="00BB00CC"/>
    <w:rsid w:val="00BB40C2"/>
    <w:rsid w:val="00BB7FB7"/>
    <w:rsid w:val="00BC1884"/>
    <w:rsid w:val="00BC1E90"/>
    <w:rsid w:val="00BC38D7"/>
    <w:rsid w:val="00BC43FA"/>
    <w:rsid w:val="00BC4C2F"/>
    <w:rsid w:val="00BC5348"/>
    <w:rsid w:val="00BC6DFC"/>
    <w:rsid w:val="00BC735D"/>
    <w:rsid w:val="00BC7A9E"/>
    <w:rsid w:val="00BC7E4C"/>
    <w:rsid w:val="00BD0402"/>
    <w:rsid w:val="00BD0CFB"/>
    <w:rsid w:val="00BD3635"/>
    <w:rsid w:val="00BD6068"/>
    <w:rsid w:val="00BE0258"/>
    <w:rsid w:val="00BE0755"/>
    <w:rsid w:val="00BE0C19"/>
    <w:rsid w:val="00BE0C27"/>
    <w:rsid w:val="00BE1121"/>
    <w:rsid w:val="00BE1454"/>
    <w:rsid w:val="00BE3370"/>
    <w:rsid w:val="00BE5D0B"/>
    <w:rsid w:val="00BF1553"/>
    <w:rsid w:val="00BF3C00"/>
    <w:rsid w:val="00BF5972"/>
    <w:rsid w:val="00BF6A95"/>
    <w:rsid w:val="00C0069E"/>
    <w:rsid w:val="00C013C9"/>
    <w:rsid w:val="00C03435"/>
    <w:rsid w:val="00C04CD7"/>
    <w:rsid w:val="00C05DDC"/>
    <w:rsid w:val="00C1048E"/>
    <w:rsid w:val="00C17939"/>
    <w:rsid w:val="00C21B87"/>
    <w:rsid w:val="00C2297A"/>
    <w:rsid w:val="00C25CA3"/>
    <w:rsid w:val="00C26044"/>
    <w:rsid w:val="00C269AC"/>
    <w:rsid w:val="00C27B24"/>
    <w:rsid w:val="00C31DD0"/>
    <w:rsid w:val="00C32517"/>
    <w:rsid w:val="00C32F98"/>
    <w:rsid w:val="00C33A7F"/>
    <w:rsid w:val="00C35740"/>
    <w:rsid w:val="00C375D3"/>
    <w:rsid w:val="00C42284"/>
    <w:rsid w:val="00C44150"/>
    <w:rsid w:val="00C47A2A"/>
    <w:rsid w:val="00C5035D"/>
    <w:rsid w:val="00C5448D"/>
    <w:rsid w:val="00C559EA"/>
    <w:rsid w:val="00C55C2D"/>
    <w:rsid w:val="00C5658D"/>
    <w:rsid w:val="00C608B1"/>
    <w:rsid w:val="00C62443"/>
    <w:rsid w:val="00C62FAC"/>
    <w:rsid w:val="00C63224"/>
    <w:rsid w:val="00C63E80"/>
    <w:rsid w:val="00C67C6B"/>
    <w:rsid w:val="00C708AD"/>
    <w:rsid w:val="00C719CE"/>
    <w:rsid w:val="00C74002"/>
    <w:rsid w:val="00C760D3"/>
    <w:rsid w:val="00C762D1"/>
    <w:rsid w:val="00C770AB"/>
    <w:rsid w:val="00C772E7"/>
    <w:rsid w:val="00C80ACF"/>
    <w:rsid w:val="00C82DFC"/>
    <w:rsid w:val="00C83027"/>
    <w:rsid w:val="00C838D3"/>
    <w:rsid w:val="00C84377"/>
    <w:rsid w:val="00C855CB"/>
    <w:rsid w:val="00C85CA8"/>
    <w:rsid w:val="00C86A7F"/>
    <w:rsid w:val="00C92313"/>
    <w:rsid w:val="00C94F23"/>
    <w:rsid w:val="00C96E5C"/>
    <w:rsid w:val="00C96F4C"/>
    <w:rsid w:val="00CA0464"/>
    <w:rsid w:val="00CA0C05"/>
    <w:rsid w:val="00CA3AED"/>
    <w:rsid w:val="00CA52C2"/>
    <w:rsid w:val="00CA549C"/>
    <w:rsid w:val="00CA7630"/>
    <w:rsid w:val="00CB09E3"/>
    <w:rsid w:val="00CB49DE"/>
    <w:rsid w:val="00CC3BC6"/>
    <w:rsid w:val="00CC4202"/>
    <w:rsid w:val="00CD2019"/>
    <w:rsid w:val="00CD2343"/>
    <w:rsid w:val="00CD3414"/>
    <w:rsid w:val="00CD4C15"/>
    <w:rsid w:val="00CD770E"/>
    <w:rsid w:val="00CD7C51"/>
    <w:rsid w:val="00CD7FD7"/>
    <w:rsid w:val="00CE0AF0"/>
    <w:rsid w:val="00CE1A84"/>
    <w:rsid w:val="00CE1E41"/>
    <w:rsid w:val="00CE4E20"/>
    <w:rsid w:val="00CE678D"/>
    <w:rsid w:val="00CE6E50"/>
    <w:rsid w:val="00CF0070"/>
    <w:rsid w:val="00CF091E"/>
    <w:rsid w:val="00CF09C1"/>
    <w:rsid w:val="00CF2ACD"/>
    <w:rsid w:val="00CF3D3A"/>
    <w:rsid w:val="00CF4511"/>
    <w:rsid w:val="00CF65CA"/>
    <w:rsid w:val="00D00772"/>
    <w:rsid w:val="00D020D0"/>
    <w:rsid w:val="00D02B1E"/>
    <w:rsid w:val="00D03177"/>
    <w:rsid w:val="00D04267"/>
    <w:rsid w:val="00D0573C"/>
    <w:rsid w:val="00D05FBD"/>
    <w:rsid w:val="00D06048"/>
    <w:rsid w:val="00D07C8D"/>
    <w:rsid w:val="00D10211"/>
    <w:rsid w:val="00D10A78"/>
    <w:rsid w:val="00D11F18"/>
    <w:rsid w:val="00D13D03"/>
    <w:rsid w:val="00D14869"/>
    <w:rsid w:val="00D17091"/>
    <w:rsid w:val="00D17D9D"/>
    <w:rsid w:val="00D20A99"/>
    <w:rsid w:val="00D213CA"/>
    <w:rsid w:val="00D2294F"/>
    <w:rsid w:val="00D22A68"/>
    <w:rsid w:val="00D23082"/>
    <w:rsid w:val="00D23C8A"/>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8B3"/>
    <w:rsid w:val="00D42A92"/>
    <w:rsid w:val="00D4418B"/>
    <w:rsid w:val="00D45AF2"/>
    <w:rsid w:val="00D47C8F"/>
    <w:rsid w:val="00D50F13"/>
    <w:rsid w:val="00D51994"/>
    <w:rsid w:val="00D52F34"/>
    <w:rsid w:val="00D54299"/>
    <w:rsid w:val="00D545C9"/>
    <w:rsid w:val="00D565F8"/>
    <w:rsid w:val="00D56645"/>
    <w:rsid w:val="00D57C5F"/>
    <w:rsid w:val="00D60AD6"/>
    <w:rsid w:val="00D61301"/>
    <w:rsid w:val="00D61374"/>
    <w:rsid w:val="00D63369"/>
    <w:rsid w:val="00D6394E"/>
    <w:rsid w:val="00D669CC"/>
    <w:rsid w:val="00D67078"/>
    <w:rsid w:val="00D7030B"/>
    <w:rsid w:val="00D7346C"/>
    <w:rsid w:val="00D74DB2"/>
    <w:rsid w:val="00D7679D"/>
    <w:rsid w:val="00D77CC0"/>
    <w:rsid w:val="00D77DB9"/>
    <w:rsid w:val="00D82E72"/>
    <w:rsid w:val="00D84DFA"/>
    <w:rsid w:val="00D86685"/>
    <w:rsid w:val="00D869A3"/>
    <w:rsid w:val="00D86F3D"/>
    <w:rsid w:val="00D87D03"/>
    <w:rsid w:val="00D91900"/>
    <w:rsid w:val="00D9204D"/>
    <w:rsid w:val="00D921E0"/>
    <w:rsid w:val="00D9278F"/>
    <w:rsid w:val="00D93302"/>
    <w:rsid w:val="00D94C0D"/>
    <w:rsid w:val="00D95A75"/>
    <w:rsid w:val="00D95B60"/>
    <w:rsid w:val="00D9628F"/>
    <w:rsid w:val="00D969F6"/>
    <w:rsid w:val="00D97545"/>
    <w:rsid w:val="00DA0415"/>
    <w:rsid w:val="00DA0C9D"/>
    <w:rsid w:val="00DA0DFD"/>
    <w:rsid w:val="00DA1D00"/>
    <w:rsid w:val="00DB2F3C"/>
    <w:rsid w:val="00DB7D29"/>
    <w:rsid w:val="00DC2031"/>
    <w:rsid w:val="00DC2162"/>
    <w:rsid w:val="00DC27FC"/>
    <w:rsid w:val="00DC36AF"/>
    <w:rsid w:val="00DC476D"/>
    <w:rsid w:val="00DC6501"/>
    <w:rsid w:val="00DC7B66"/>
    <w:rsid w:val="00DD0336"/>
    <w:rsid w:val="00DD106D"/>
    <w:rsid w:val="00DD1627"/>
    <w:rsid w:val="00DD2A49"/>
    <w:rsid w:val="00DD6D1F"/>
    <w:rsid w:val="00DD6F55"/>
    <w:rsid w:val="00DE08CE"/>
    <w:rsid w:val="00DE49F5"/>
    <w:rsid w:val="00DE538E"/>
    <w:rsid w:val="00DE5BBD"/>
    <w:rsid w:val="00DE5EE7"/>
    <w:rsid w:val="00DE60C3"/>
    <w:rsid w:val="00DE7D3D"/>
    <w:rsid w:val="00DF1CBF"/>
    <w:rsid w:val="00DF29AE"/>
    <w:rsid w:val="00DF3004"/>
    <w:rsid w:val="00DF38F4"/>
    <w:rsid w:val="00DF523A"/>
    <w:rsid w:val="00DF6B14"/>
    <w:rsid w:val="00DF713C"/>
    <w:rsid w:val="00E00C31"/>
    <w:rsid w:val="00E03253"/>
    <w:rsid w:val="00E04C25"/>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4182"/>
    <w:rsid w:val="00E330ED"/>
    <w:rsid w:val="00E35013"/>
    <w:rsid w:val="00E4035E"/>
    <w:rsid w:val="00E40462"/>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5170"/>
    <w:rsid w:val="00E56018"/>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2ED0"/>
    <w:rsid w:val="00E90341"/>
    <w:rsid w:val="00E907F2"/>
    <w:rsid w:val="00E92F08"/>
    <w:rsid w:val="00E94A83"/>
    <w:rsid w:val="00E9573E"/>
    <w:rsid w:val="00E96834"/>
    <w:rsid w:val="00EA1396"/>
    <w:rsid w:val="00EA69A1"/>
    <w:rsid w:val="00EA6EE0"/>
    <w:rsid w:val="00EB1B37"/>
    <w:rsid w:val="00EB30F6"/>
    <w:rsid w:val="00EB4CD3"/>
    <w:rsid w:val="00EB5253"/>
    <w:rsid w:val="00EC1BF8"/>
    <w:rsid w:val="00EC3564"/>
    <w:rsid w:val="00EC6C16"/>
    <w:rsid w:val="00EC6F34"/>
    <w:rsid w:val="00ED05B3"/>
    <w:rsid w:val="00ED1CB8"/>
    <w:rsid w:val="00ED6A99"/>
    <w:rsid w:val="00EE04AC"/>
    <w:rsid w:val="00EE07E5"/>
    <w:rsid w:val="00EE221F"/>
    <w:rsid w:val="00EE2545"/>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42C6"/>
    <w:rsid w:val="00F1504F"/>
    <w:rsid w:val="00F178FB"/>
    <w:rsid w:val="00F22CB7"/>
    <w:rsid w:val="00F23911"/>
    <w:rsid w:val="00F246FA"/>
    <w:rsid w:val="00F24FB8"/>
    <w:rsid w:val="00F25739"/>
    <w:rsid w:val="00F273A4"/>
    <w:rsid w:val="00F2760B"/>
    <w:rsid w:val="00F32B2E"/>
    <w:rsid w:val="00F35C3E"/>
    <w:rsid w:val="00F3635F"/>
    <w:rsid w:val="00F3682F"/>
    <w:rsid w:val="00F36C3C"/>
    <w:rsid w:val="00F371E0"/>
    <w:rsid w:val="00F432BC"/>
    <w:rsid w:val="00F4402C"/>
    <w:rsid w:val="00F46B0D"/>
    <w:rsid w:val="00F47835"/>
    <w:rsid w:val="00F5049A"/>
    <w:rsid w:val="00F505D4"/>
    <w:rsid w:val="00F5218A"/>
    <w:rsid w:val="00F53141"/>
    <w:rsid w:val="00F53B27"/>
    <w:rsid w:val="00F54C96"/>
    <w:rsid w:val="00F55AA0"/>
    <w:rsid w:val="00F575FA"/>
    <w:rsid w:val="00F60E76"/>
    <w:rsid w:val="00F64770"/>
    <w:rsid w:val="00F65467"/>
    <w:rsid w:val="00F70D46"/>
    <w:rsid w:val="00F765A1"/>
    <w:rsid w:val="00F80625"/>
    <w:rsid w:val="00F8101F"/>
    <w:rsid w:val="00F815BE"/>
    <w:rsid w:val="00F8192A"/>
    <w:rsid w:val="00F831D2"/>
    <w:rsid w:val="00F84224"/>
    <w:rsid w:val="00F87277"/>
    <w:rsid w:val="00F9228A"/>
    <w:rsid w:val="00F939FC"/>
    <w:rsid w:val="00F958ED"/>
    <w:rsid w:val="00F968B4"/>
    <w:rsid w:val="00FA1BB9"/>
    <w:rsid w:val="00FA2346"/>
    <w:rsid w:val="00FA567C"/>
    <w:rsid w:val="00FA58D0"/>
    <w:rsid w:val="00FA5DFE"/>
    <w:rsid w:val="00FA65D2"/>
    <w:rsid w:val="00FA78F7"/>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26"/>
      </w:numPr>
    </w:pPr>
  </w:style>
  <w:style w:type="paragraph" w:customStyle="1" w:styleId="CUTable1">
    <w:name w:val="CU_Table1"/>
    <w:basedOn w:val="Normal"/>
    <w:rsid w:val="00974135"/>
    <w:pPr>
      <w:numPr>
        <w:numId w:val="26"/>
      </w:numPr>
      <w:outlineLvl w:val="0"/>
    </w:pPr>
  </w:style>
  <w:style w:type="paragraph" w:customStyle="1" w:styleId="CUTable2">
    <w:name w:val="CU_Table2"/>
    <w:basedOn w:val="Normal"/>
    <w:rsid w:val="00974135"/>
    <w:pPr>
      <w:numPr>
        <w:ilvl w:val="1"/>
        <w:numId w:val="26"/>
      </w:numPr>
      <w:outlineLvl w:val="2"/>
    </w:pPr>
  </w:style>
  <w:style w:type="paragraph" w:customStyle="1" w:styleId="CUTable3">
    <w:name w:val="CU_Table3"/>
    <w:basedOn w:val="Normal"/>
    <w:rsid w:val="00974135"/>
    <w:pPr>
      <w:numPr>
        <w:ilvl w:val="2"/>
        <w:numId w:val="26"/>
      </w:numPr>
      <w:outlineLvl w:val="3"/>
    </w:pPr>
  </w:style>
  <w:style w:type="paragraph" w:customStyle="1" w:styleId="CUTable4">
    <w:name w:val="CU_Table4"/>
    <w:basedOn w:val="Normal"/>
    <w:rsid w:val="00974135"/>
    <w:pPr>
      <w:numPr>
        <w:ilvl w:val="3"/>
        <w:numId w:val="26"/>
      </w:numPr>
      <w:outlineLvl w:val="4"/>
    </w:pPr>
  </w:style>
  <w:style w:type="paragraph" w:customStyle="1" w:styleId="CUTable5">
    <w:name w:val="CU_Table5"/>
    <w:basedOn w:val="Normal"/>
    <w:rsid w:val="00974135"/>
    <w:pPr>
      <w:numPr>
        <w:ilvl w:val="4"/>
        <w:numId w:val="26"/>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customStyle="1" w:styleId="DefenceNormalChar">
    <w:name w:val="DefenceNormal Char"/>
    <w:link w:val="DefenceNormal"/>
    <w:locked/>
    <w:rsid w:val="00E903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40</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9</cp:revision>
  <cp:lastPrinted>2019-10-24T01:23:00Z</cp:lastPrinted>
  <dcterms:created xsi:type="dcterms:W3CDTF">2022-10-22T02:00:00Z</dcterms:created>
  <dcterms:modified xsi:type="dcterms:W3CDTF">2022-10-26T22:17:00Z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