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CE973" w14:textId="77777777" w:rsidR="00AF6724" w:rsidRDefault="00AF6724" w:rsidP="00A06B6D">
      <w:pPr>
        <w:pStyle w:val="ASDEFCONNormal"/>
      </w:pPr>
    </w:p>
    <w:p w14:paraId="51B4CB1A" w14:textId="77777777" w:rsidR="00AF6724" w:rsidRDefault="000F3720" w:rsidP="00A06B6D">
      <w:pPr>
        <w:pStyle w:val="ASDEFCONNormal"/>
      </w:pPr>
      <w:r>
        <w:rPr>
          <w:noProof/>
        </w:rPr>
        <w:drawing>
          <wp:anchor distT="0" distB="0" distL="114300" distR="114300" simplePos="0" relativeHeight="251657216" behindDoc="0" locked="0" layoutInCell="1" allowOverlap="1" wp14:anchorId="3AFE411B" wp14:editId="471485CB">
            <wp:simplePos x="0" y="0"/>
            <wp:positionH relativeFrom="column">
              <wp:posOffset>1397000</wp:posOffset>
            </wp:positionH>
            <wp:positionV relativeFrom="paragraph">
              <wp:posOffset>213995</wp:posOffset>
            </wp:positionV>
            <wp:extent cx="2486025" cy="1752600"/>
            <wp:effectExtent l="0" t="0" r="0" b="0"/>
            <wp:wrapSquare wrapText="bothSides"/>
            <wp:docPr id="4" name="Picture 2" descr="Picture in Document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in Document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0749F" w14:textId="77777777" w:rsidR="00AF6724" w:rsidRPr="003F78D2" w:rsidRDefault="00AF6724" w:rsidP="00AF6724">
      <w:pPr>
        <w:pStyle w:val="ASDEFCONNormal"/>
      </w:pPr>
    </w:p>
    <w:p w14:paraId="00E6B8E1" w14:textId="77777777" w:rsidR="00AF6724" w:rsidRPr="003F78D2" w:rsidRDefault="00AF6724" w:rsidP="00AF6724">
      <w:pPr>
        <w:pStyle w:val="ASDEFCONNormal"/>
      </w:pPr>
    </w:p>
    <w:p w14:paraId="2E4F3D4C" w14:textId="77777777" w:rsidR="00AF6724" w:rsidRPr="003F78D2" w:rsidRDefault="00AF6724" w:rsidP="00AF6724">
      <w:pPr>
        <w:pStyle w:val="ASDEFCONNormal"/>
      </w:pPr>
    </w:p>
    <w:p w14:paraId="30EF50DF" w14:textId="77777777" w:rsidR="00AF6724" w:rsidRPr="003F78D2" w:rsidRDefault="00AF6724" w:rsidP="00AF6724">
      <w:pPr>
        <w:pStyle w:val="ASDEFCONNormal"/>
      </w:pPr>
    </w:p>
    <w:p w14:paraId="67FE4C32" w14:textId="477875B4" w:rsidR="00D763E1" w:rsidRPr="000402E3" w:rsidRDefault="00D763E1" w:rsidP="00D763E1">
      <w:pPr>
        <w:spacing w:after="0"/>
        <w:jc w:val="center"/>
        <w:rPr>
          <w:rFonts w:cs="Arial"/>
          <w:sz w:val="96"/>
          <w:szCs w:val="96"/>
        </w:rPr>
      </w:pPr>
      <w:r>
        <w:rPr>
          <w:rFonts w:cs="Arial"/>
          <w:sz w:val="96"/>
          <w:szCs w:val="96"/>
        </w:rPr>
        <w:t>Liability Risk Assessment Template V</w:t>
      </w:r>
      <w:r w:rsidRPr="00927BD4">
        <w:rPr>
          <w:rFonts w:cs="Arial"/>
          <w:sz w:val="96"/>
          <w:szCs w:val="96"/>
        </w:rPr>
        <w:t>2.</w:t>
      </w:r>
      <w:r w:rsidR="00927BD4" w:rsidRPr="00927BD4">
        <w:rPr>
          <w:rFonts w:cs="Arial"/>
          <w:sz w:val="96"/>
          <w:szCs w:val="96"/>
        </w:rPr>
        <w:t>0</w:t>
      </w:r>
    </w:p>
    <w:p w14:paraId="21BDFFCE" w14:textId="77777777" w:rsidR="00D763E1" w:rsidRPr="000A6E8A" w:rsidRDefault="00D763E1" w:rsidP="00D763E1">
      <w:pPr>
        <w:spacing w:after="0"/>
        <w:rPr>
          <w:sz w:val="28"/>
          <w:szCs w:val="28"/>
        </w:rPr>
      </w:pPr>
    </w:p>
    <w:p w14:paraId="110B57B5" w14:textId="77777777" w:rsidR="00D763E1" w:rsidRPr="000A6E8A" w:rsidRDefault="00D763E1" w:rsidP="00D763E1">
      <w:pPr>
        <w:spacing w:after="0"/>
        <w:rPr>
          <w:sz w:val="28"/>
          <w:szCs w:val="28"/>
        </w:rPr>
      </w:pPr>
    </w:p>
    <w:p w14:paraId="7B30745F" w14:textId="77777777" w:rsidR="00D763E1" w:rsidRPr="000A6E8A" w:rsidRDefault="00D763E1" w:rsidP="00D763E1">
      <w:pPr>
        <w:spacing w:after="0"/>
        <w:rPr>
          <w:sz w:val="28"/>
          <w:szCs w:val="28"/>
        </w:rPr>
      </w:pPr>
    </w:p>
    <w:p w14:paraId="0CED5481" w14:textId="77777777" w:rsidR="00D763E1" w:rsidRDefault="00D763E1" w:rsidP="00D763E1">
      <w:pPr>
        <w:spacing w:after="0"/>
        <w:rPr>
          <w:sz w:val="28"/>
          <w:szCs w:val="28"/>
        </w:rPr>
      </w:pPr>
    </w:p>
    <w:p w14:paraId="07CF933C" w14:textId="77777777" w:rsidR="00D763E1" w:rsidRDefault="00D763E1" w:rsidP="00D763E1">
      <w:pPr>
        <w:spacing w:after="0"/>
        <w:rPr>
          <w:sz w:val="28"/>
          <w:szCs w:val="28"/>
        </w:rPr>
      </w:pPr>
    </w:p>
    <w:p w14:paraId="41502B61" w14:textId="77777777" w:rsidR="00D763E1" w:rsidRDefault="00D763E1" w:rsidP="00D763E1">
      <w:pPr>
        <w:spacing w:after="0"/>
        <w:rPr>
          <w:sz w:val="28"/>
          <w:szCs w:val="28"/>
        </w:rPr>
      </w:pPr>
    </w:p>
    <w:p w14:paraId="3B9D0620" w14:textId="77777777" w:rsidR="00D763E1" w:rsidRDefault="00D763E1" w:rsidP="00D763E1">
      <w:pPr>
        <w:spacing w:after="0"/>
        <w:rPr>
          <w:sz w:val="28"/>
          <w:szCs w:val="28"/>
        </w:rPr>
      </w:pPr>
    </w:p>
    <w:p w14:paraId="1200C3F5" w14:textId="77777777" w:rsidR="00D763E1" w:rsidRDefault="00D763E1" w:rsidP="00D763E1">
      <w:pPr>
        <w:spacing w:after="0"/>
        <w:rPr>
          <w:sz w:val="28"/>
          <w:szCs w:val="28"/>
        </w:rPr>
      </w:pPr>
    </w:p>
    <w:p w14:paraId="426A48AC" w14:textId="77777777" w:rsidR="00D763E1" w:rsidRDefault="00D763E1" w:rsidP="00D763E1">
      <w:pPr>
        <w:spacing w:after="0"/>
        <w:rPr>
          <w:sz w:val="28"/>
          <w:szCs w:val="28"/>
        </w:rPr>
      </w:pPr>
    </w:p>
    <w:p w14:paraId="0272D0F2" w14:textId="77777777" w:rsidR="00D763E1" w:rsidRDefault="00D763E1" w:rsidP="00D763E1">
      <w:pPr>
        <w:spacing w:after="0"/>
        <w:rPr>
          <w:sz w:val="28"/>
          <w:szCs w:val="28"/>
        </w:rPr>
      </w:pPr>
    </w:p>
    <w:p w14:paraId="09C67AF5" w14:textId="77777777" w:rsidR="00D763E1" w:rsidRDefault="00D763E1" w:rsidP="00D763E1">
      <w:pPr>
        <w:spacing w:after="0"/>
        <w:rPr>
          <w:sz w:val="28"/>
          <w:szCs w:val="28"/>
        </w:rPr>
      </w:pPr>
    </w:p>
    <w:p w14:paraId="1E67AE79" w14:textId="77777777" w:rsidR="00D763E1" w:rsidRPr="000A6E8A" w:rsidRDefault="00D763E1" w:rsidP="00D763E1">
      <w:pPr>
        <w:spacing w:after="0"/>
        <w:rPr>
          <w:sz w:val="28"/>
          <w:szCs w:val="28"/>
        </w:rPr>
      </w:pPr>
    </w:p>
    <w:p w14:paraId="0A9D1B89" w14:textId="2B1792B3" w:rsidR="00D763E1" w:rsidRPr="000402E3" w:rsidRDefault="00D763E1" w:rsidP="00D763E1">
      <w:pPr>
        <w:spacing w:after="0"/>
        <w:jc w:val="center"/>
        <w:rPr>
          <w:rFonts w:cs="Arial"/>
          <w:sz w:val="72"/>
          <w:szCs w:val="72"/>
        </w:rPr>
      </w:pPr>
      <w:r>
        <w:rPr>
          <w:rFonts w:cs="Arial"/>
          <w:sz w:val="72"/>
          <w:szCs w:val="72"/>
        </w:rPr>
        <w:t xml:space="preserve">Released </w:t>
      </w:r>
      <w:r w:rsidR="003B6005">
        <w:rPr>
          <w:rFonts w:cs="Arial"/>
          <w:sz w:val="72"/>
          <w:szCs w:val="72"/>
        </w:rPr>
        <w:t>November</w:t>
      </w:r>
      <w:r w:rsidR="00252949">
        <w:rPr>
          <w:rFonts w:cs="Arial"/>
          <w:sz w:val="72"/>
          <w:szCs w:val="72"/>
        </w:rPr>
        <w:t xml:space="preserve"> </w:t>
      </w:r>
      <w:r w:rsidR="000F3720">
        <w:rPr>
          <w:rFonts w:cs="Arial"/>
          <w:sz w:val="72"/>
          <w:szCs w:val="72"/>
        </w:rPr>
        <w:t>2018</w:t>
      </w:r>
    </w:p>
    <w:p w14:paraId="48361B37" w14:textId="77777777" w:rsidR="00B15F15" w:rsidRPr="00780A2D" w:rsidRDefault="00B15F15" w:rsidP="00780A2D"/>
    <w:p w14:paraId="5EBEF744" w14:textId="77777777" w:rsidR="00754843" w:rsidRPr="009B1F71" w:rsidRDefault="00754843" w:rsidP="00754843">
      <w:pPr>
        <w:spacing w:after="0"/>
        <w:outlineLvl w:val="0"/>
        <w:rPr>
          <w:b/>
        </w:rPr>
      </w:pPr>
      <w:r>
        <w:br w:type="page"/>
      </w:r>
      <w:r w:rsidRPr="00CB7CE1">
        <w:rPr>
          <w:b/>
          <w:lang w:val="en-US"/>
        </w:rPr>
        <w:lastRenderedPageBreak/>
        <w:t>Scope</w:t>
      </w:r>
    </w:p>
    <w:p w14:paraId="5F20CB9C" w14:textId="77777777" w:rsidR="00754843" w:rsidRPr="00CB7CE1" w:rsidRDefault="00754843" w:rsidP="00754843">
      <w:pPr>
        <w:spacing w:after="0"/>
        <w:outlineLvl w:val="0"/>
        <w:rPr>
          <w:lang w:val="en-US"/>
        </w:rPr>
      </w:pPr>
      <w:r w:rsidRPr="00CB7CE1">
        <w:rPr>
          <w:lang w:val="en-US"/>
        </w:rPr>
        <w:t xml:space="preserve">This publication should be considered best practice guidance for </w:t>
      </w:r>
      <w:r>
        <w:rPr>
          <w:lang w:val="en-US"/>
        </w:rPr>
        <w:t xml:space="preserve">all </w:t>
      </w:r>
      <w:r w:rsidRPr="00CB7CE1">
        <w:rPr>
          <w:lang w:val="en-US"/>
        </w:rPr>
        <w:t xml:space="preserve">Defence staff undertaking </w:t>
      </w:r>
      <w:r w:rsidRPr="00754843">
        <w:rPr>
          <w:lang w:val="en-US"/>
        </w:rPr>
        <w:t>procurement</w:t>
      </w:r>
      <w:r w:rsidRPr="00CB7CE1">
        <w:rPr>
          <w:lang w:val="en-US"/>
        </w:rPr>
        <w:t xml:space="preserve"> activities.</w:t>
      </w:r>
    </w:p>
    <w:p w14:paraId="08300CB2" w14:textId="77777777" w:rsidR="00754843" w:rsidRPr="00517A53" w:rsidRDefault="00754843" w:rsidP="00754843">
      <w:pPr>
        <w:spacing w:after="0"/>
        <w:rPr>
          <w:b/>
        </w:rPr>
      </w:pPr>
    </w:p>
    <w:p w14:paraId="3663C728" w14:textId="77777777" w:rsidR="00754843" w:rsidRPr="00CB7CE1" w:rsidRDefault="00754843" w:rsidP="00754843">
      <w:pPr>
        <w:spacing w:after="0"/>
        <w:outlineLvl w:val="0"/>
        <w:rPr>
          <w:b/>
          <w:lang w:val="en-US"/>
        </w:rPr>
      </w:pPr>
      <w:r w:rsidRPr="00CB7CE1">
        <w:rPr>
          <w:b/>
          <w:lang w:val="en-US"/>
        </w:rPr>
        <w:t>Note to External Agencies</w:t>
      </w:r>
    </w:p>
    <w:p w14:paraId="2CDC0FBE" w14:textId="77777777" w:rsidR="00754843" w:rsidRPr="00CB7CE1" w:rsidRDefault="00754843" w:rsidP="00754843">
      <w:pPr>
        <w:spacing w:after="0"/>
        <w:outlineLvl w:val="0"/>
        <w:rPr>
          <w:lang w:val="en-US"/>
        </w:rPr>
      </w:pPr>
      <w:r w:rsidRPr="00CB7CE1">
        <w:rPr>
          <w:lang w:val="en-US"/>
        </w:rPr>
        <w:t>External agencies intending to use this template will need to tailor it in order to meet their specific procurement requirements (including relevant internal guidance) and should seek appropriate professional guidance as required.</w:t>
      </w:r>
    </w:p>
    <w:p w14:paraId="1154A712" w14:textId="77777777" w:rsidR="00754843" w:rsidRPr="00517A53" w:rsidRDefault="00754843" w:rsidP="00754843">
      <w:pPr>
        <w:spacing w:after="0"/>
      </w:pPr>
    </w:p>
    <w:p w14:paraId="779A161B" w14:textId="77777777" w:rsidR="00754843" w:rsidRPr="00CB7CE1" w:rsidRDefault="00754843" w:rsidP="00754843">
      <w:pPr>
        <w:spacing w:after="0"/>
        <w:outlineLvl w:val="0"/>
        <w:rPr>
          <w:b/>
          <w:lang w:val="en-US"/>
        </w:rPr>
      </w:pPr>
      <w:r w:rsidRPr="00CB7CE1">
        <w:rPr>
          <w:b/>
          <w:lang w:val="en-US"/>
        </w:rPr>
        <w:t>Disclaimer</w:t>
      </w:r>
    </w:p>
    <w:p w14:paraId="6D4F0F54" w14:textId="77777777" w:rsidR="00754843" w:rsidRPr="00517A53" w:rsidRDefault="00754843" w:rsidP="00754843">
      <w:pPr>
        <w:pStyle w:val="NormalWeb"/>
        <w:shd w:val="clear" w:color="auto" w:fill="FFFFFF"/>
        <w:spacing w:after="0" w:line="240" w:lineRule="auto"/>
        <w:jc w:val="both"/>
        <w:rPr>
          <w:rFonts w:ascii="Arial" w:hAnsi="Arial" w:cs="Helvetica"/>
          <w:sz w:val="20"/>
          <w:szCs w:val="20"/>
          <w:lang w:val="en"/>
        </w:rPr>
      </w:pPr>
      <w:r w:rsidRPr="00517A53">
        <w:rPr>
          <w:rFonts w:ascii="Arial" w:hAnsi="Arial" w:cs="Helvetica"/>
          <w:sz w:val="20"/>
          <w:szCs w:val="20"/>
          <w:lang w:val="en"/>
        </w:rPr>
        <w:t xml:space="preserve">The information in this publication is provided by Defence for the purpose of disseminating procurement </w:t>
      </w:r>
      <w:r>
        <w:rPr>
          <w:rFonts w:ascii="Arial" w:hAnsi="Arial" w:cs="Helvetica"/>
          <w:sz w:val="20"/>
          <w:szCs w:val="20"/>
          <w:lang w:val="en"/>
        </w:rPr>
        <w:t>guidance to its staff</w:t>
      </w:r>
      <w:r w:rsidRPr="00517A53">
        <w:rPr>
          <w:rFonts w:ascii="Arial" w:hAnsi="Arial" w:cs="Helvetica"/>
          <w:sz w:val="20"/>
          <w:szCs w:val="20"/>
          <w:lang w:val="en"/>
        </w:rPr>
        <w:t>.</w:t>
      </w:r>
      <w:r w:rsidRPr="00BF24C5">
        <w:rPr>
          <w:rFonts w:ascii="Arial" w:hAnsi="Arial" w:cs="Helvetica"/>
          <w:sz w:val="20"/>
          <w:szCs w:val="20"/>
          <w:lang w:val="en"/>
        </w:rPr>
        <w:t xml:space="preserve"> </w:t>
      </w:r>
      <w:r>
        <w:rPr>
          <w:rFonts w:ascii="Arial" w:hAnsi="Arial" w:cs="Helvetica"/>
          <w:sz w:val="20"/>
          <w:szCs w:val="20"/>
          <w:lang w:val="en"/>
        </w:rPr>
        <w:t>While every effort has been made to ensure the guidance in this publication</w:t>
      </w:r>
      <w:r w:rsidRPr="00517A53">
        <w:rPr>
          <w:rFonts w:ascii="Arial" w:hAnsi="Arial" w:cs="Helvetica"/>
          <w:sz w:val="20"/>
          <w:szCs w:val="20"/>
          <w:lang w:val="en"/>
        </w:rPr>
        <w:t xml:space="preserve"> is accurate and up-to-date, </w:t>
      </w:r>
      <w:r>
        <w:rPr>
          <w:rFonts w:ascii="Arial" w:hAnsi="Arial" w:cs="Helvetica"/>
          <w:sz w:val="20"/>
          <w:szCs w:val="20"/>
          <w:lang w:val="en"/>
        </w:rPr>
        <w:t>any user</w:t>
      </w:r>
      <w:r w:rsidRPr="00517A53">
        <w:rPr>
          <w:rFonts w:ascii="Arial" w:hAnsi="Arial" w:cs="Helvetica"/>
          <w:sz w:val="20"/>
          <w:szCs w:val="20"/>
          <w:lang w:val="en"/>
        </w:rPr>
        <w:t xml:space="preserve"> should exercise independent skill and judgment before </w:t>
      </w:r>
      <w:r>
        <w:rPr>
          <w:rFonts w:ascii="Arial" w:hAnsi="Arial" w:cs="Helvetica"/>
          <w:sz w:val="20"/>
          <w:szCs w:val="20"/>
          <w:lang w:val="en"/>
        </w:rPr>
        <w:t>relying on it</w:t>
      </w:r>
      <w:r w:rsidRPr="00517A53">
        <w:rPr>
          <w:rFonts w:ascii="Arial" w:hAnsi="Arial" w:cs="Helvetica"/>
          <w:sz w:val="20"/>
          <w:szCs w:val="20"/>
          <w:lang w:val="en"/>
        </w:rPr>
        <w:t xml:space="preserve">.  </w:t>
      </w:r>
      <w:r>
        <w:rPr>
          <w:rFonts w:ascii="Arial" w:hAnsi="Arial" w:cs="Helvetica"/>
          <w:sz w:val="20"/>
          <w:szCs w:val="20"/>
          <w:lang w:val="en"/>
        </w:rPr>
        <w:t>Further, t</w:t>
      </w:r>
      <w:r w:rsidRPr="00517A53">
        <w:rPr>
          <w:rFonts w:ascii="Arial" w:hAnsi="Arial" w:cs="Helvetica"/>
          <w:sz w:val="20"/>
          <w:szCs w:val="20"/>
          <w:lang w:val="en"/>
        </w:rPr>
        <w:t xml:space="preserve">his publication is not a substitute for independent professional advice and </w:t>
      </w:r>
      <w:r>
        <w:rPr>
          <w:rFonts w:ascii="Arial" w:hAnsi="Arial" w:cs="Helvetica"/>
          <w:sz w:val="20"/>
          <w:szCs w:val="20"/>
          <w:lang w:val="en"/>
        </w:rPr>
        <w:t xml:space="preserve">users external to Defence </w:t>
      </w:r>
      <w:r w:rsidRPr="00517A53">
        <w:rPr>
          <w:rFonts w:ascii="Arial" w:hAnsi="Arial" w:cs="Helvetica"/>
          <w:sz w:val="20"/>
          <w:szCs w:val="20"/>
          <w:lang w:val="en"/>
        </w:rPr>
        <w:t>should obtain appropriate advice relevant to their particular circumstances.</w:t>
      </w:r>
    </w:p>
    <w:p w14:paraId="0D0BFDBC" w14:textId="77777777" w:rsidR="00754843" w:rsidRPr="00517A53" w:rsidRDefault="00754843" w:rsidP="00754843">
      <w:pPr>
        <w:pStyle w:val="NormalWeb"/>
        <w:shd w:val="clear" w:color="auto" w:fill="FFFFFF"/>
        <w:spacing w:after="0" w:line="240" w:lineRule="auto"/>
        <w:jc w:val="both"/>
        <w:rPr>
          <w:rFonts w:ascii="Arial" w:hAnsi="Arial" w:cs="Helvetica"/>
          <w:sz w:val="20"/>
          <w:szCs w:val="20"/>
          <w:lang w:val="en"/>
        </w:rPr>
      </w:pPr>
    </w:p>
    <w:p w14:paraId="2011BE49" w14:textId="77777777" w:rsidR="00754843" w:rsidRDefault="00754843" w:rsidP="00754843">
      <w:pPr>
        <w:pStyle w:val="NormalWeb"/>
        <w:shd w:val="clear" w:color="auto" w:fill="FFFFFF"/>
        <w:spacing w:after="0" w:line="240" w:lineRule="auto"/>
        <w:jc w:val="both"/>
        <w:rPr>
          <w:rFonts w:ascii="Arial" w:hAnsi="Arial"/>
          <w:sz w:val="20"/>
          <w:szCs w:val="20"/>
          <w:lang w:val="en"/>
        </w:rPr>
      </w:pPr>
      <w:r>
        <w:rPr>
          <w:rFonts w:ascii="Arial" w:hAnsi="Arial" w:cs="Helvetica"/>
          <w:sz w:val="20"/>
          <w:szCs w:val="20"/>
          <w:lang w:val="en"/>
        </w:rPr>
        <w:t>Defence</w:t>
      </w:r>
      <w:r w:rsidRPr="00517A53">
        <w:rPr>
          <w:rFonts w:ascii="Arial" w:hAnsi="Arial" w:cs="Helvetica"/>
          <w:sz w:val="20"/>
          <w:szCs w:val="20"/>
          <w:lang w:val="en"/>
        </w:rPr>
        <w:t xml:space="preserve"> </w:t>
      </w:r>
      <w:r>
        <w:rPr>
          <w:rFonts w:ascii="Arial" w:hAnsi="Arial" w:cs="Helvetica"/>
          <w:sz w:val="20"/>
          <w:szCs w:val="20"/>
          <w:lang w:val="en"/>
        </w:rPr>
        <w:t>does</w:t>
      </w:r>
      <w:r w:rsidRPr="00517A53">
        <w:rPr>
          <w:rFonts w:ascii="Arial" w:hAnsi="Arial" w:cs="Helvetica"/>
          <w:sz w:val="20"/>
          <w:szCs w:val="20"/>
          <w:lang w:val="en"/>
        </w:rPr>
        <w:t xml:space="preserve"> not make any representation or warranty about the accuracy, reliability, currency or completeness of any material contained </w:t>
      </w:r>
      <w:r>
        <w:rPr>
          <w:rFonts w:ascii="Arial" w:hAnsi="Arial" w:cs="Helvetica"/>
          <w:sz w:val="20"/>
          <w:szCs w:val="20"/>
          <w:lang w:val="en"/>
        </w:rPr>
        <w:t xml:space="preserve">in this publication and nothing in this publication should be considered a representation by the Commonwealth. </w:t>
      </w:r>
      <w:r w:rsidR="008F148C">
        <w:rPr>
          <w:rFonts w:ascii="Arial" w:hAnsi="Arial" w:cs="Helvetica"/>
          <w:sz w:val="20"/>
          <w:szCs w:val="20"/>
          <w:lang w:val="en"/>
        </w:rPr>
        <w:t xml:space="preserve"> </w:t>
      </w:r>
      <w:r>
        <w:rPr>
          <w:rFonts w:ascii="Arial" w:hAnsi="Arial" w:cs="Arial"/>
          <w:sz w:val="20"/>
        </w:rPr>
        <w:t>In publishing this information, Defence does not warrant that the information</w:t>
      </w:r>
      <w:r w:rsidRPr="007C523B">
        <w:rPr>
          <w:rFonts w:ascii="Arial" w:hAnsi="Arial" w:cs="Arial"/>
          <w:sz w:val="20"/>
        </w:rPr>
        <w:t xml:space="preserve"> wil</w:t>
      </w:r>
      <w:r>
        <w:rPr>
          <w:rFonts w:ascii="Arial" w:hAnsi="Arial" w:cs="Arial"/>
          <w:sz w:val="20"/>
        </w:rPr>
        <w:t xml:space="preserve">l be used in any particular procurement process. </w:t>
      </w:r>
      <w:r w:rsidR="008F148C">
        <w:rPr>
          <w:rFonts w:ascii="Arial" w:hAnsi="Arial" w:cs="Arial"/>
          <w:sz w:val="20"/>
        </w:rPr>
        <w:t xml:space="preserve"> </w:t>
      </w:r>
      <w:r>
        <w:rPr>
          <w:rFonts w:ascii="Arial" w:hAnsi="Arial"/>
          <w:sz w:val="20"/>
          <w:szCs w:val="20"/>
          <w:lang w:val="en"/>
        </w:rPr>
        <w:t xml:space="preserve">Defence is </w:t>
      </w:r>
      <w:r w:rsidRPr="00517A53">
        <w:rPr>
          <w:rFonts w:ascii="Arial" w:hAnsi="Arial"/>
          <w:sz w:val="20"/>
          <w:szCs w:val="20"/>
          <w:lang w:val="en"/>
        </w:rPr>
        <w:t>not liable for any loss resulting from any action taken or reliance made on any information or material in this publication (including, without limitation, third party information).</w:t>
      </w:r>
    </w:p>
    <w:p w14:paraId="63BDB7B5" w14:textId="77777777" w:rsidR="00754843" w:rsidRDefault="00754843" w:rsidP="00754843">
      <w:pPr>
        <w:pStyle w:val="NormalWeb"/>
        <w:shd w:val="clear" w:color="auto" w:fill="FFFFFF"/>
        <w:spacing w:after="0" w:line="240" w:lineRule="auto"/>
        <w:jc w:val="both"/>
        <w:rPr>
          <w:rFonts w:ascii="Arial" w:hAnsi="Arial"/>
          <w:sz w:val="20"/>
          <w:szCs w:val="20"/>
          <w:lang w:val="en"/>
        </w:rPr>
      </w:pPr>
    </w:p>
    <w:p w14:paraId="003D75A5" w14:textId="77777777" w:rsidR="00754843" w:rsidRPr="00CB7CE1" w:rsidRDefault="00754843" w:rsidP="00754843">
      <w:pPr>
        <w:spacing w:after="0"/>
        <w:outlineLvl w:val="0"/>
        <w:rPr>
          <w:b/>
          <w:lang w:val="en-US"/>
        </w:rPr>
      </w:pPr>
      <w:r w:rsidRPr="00CB7CE1">
        <w:rPr>
          <w:b/>
          <w:lang w:val="en-US"/>
        </w:rPr>
        <w:t>Copyright</w:t>
      </w:r>
    </w:p>
    <w:p w14:paraId="50D6FB14" w14:textId="183444E9" w:rsidR="00754843" w:rsidRPr="00CB7CE1" w:rsidRDefault="00754843" w:rsidP="00754843">
      <w:pPr>
        <w:spacing w:after="0"/>
        <w:outlineLvl w:val="0"/>
        <w:rPr>
          <w:lang w:val="en-US"/>
        </w:rPr>
      </w:pPr>
      <w:r w:rsidRPr="00CB7CE1">
        <w:rPr>
          <w:lang w:val="en-US"/>
        </w:rPr>
        <w:t xml:space="preserve">Commonwealth of Australia </w:t>
      </w:r>
      <w:r w:rsidR="00A06B6D" w:rsidRPr="00CB7CE1">
        <w:rPr>
          <w:lang w:val="en-US"/>
        </w:rPr>
        <w:t>201</w:t>
      </w:r>
      <w:r w:rsidR="00A06B6D">
        <w:rPr>
          <w:lang w:val="en-US"/>
        </w:rPr>
        <w:t>8</w:t>
      </w:r>
    </w:p>
    <w:p w14:paraId="626B1AB0" w14:textId="77777777" w:rsidR="00754843" w:rsidRDefault="00754843" w:rsidP="00754843">
      <w:pPr>
        <w:spacing w:after="0"/>
      </w:pPr>
    </w:p>
    <w:p w14:paraId="41EBB3CB" w14:textId="70E3B6FD" w:rsidR="00754843" w:rsidRPr="00CB7CE1" w:rsidRDefault="00754843" w:rsidP="00754843">
      <w:pPr>
        <w:autoSpaceDE w:val="0"/>
        <w:autoSpaceDN w:val="0"/>
        <w:adjustRightInd w:val="0"/>
        <w:spacing w:after="0"/>
        <w:rPr>
          <w:lang w:val="en"/>
        </w:rPr>
      </w:pPr>
      <w:r w:rsidRPr="00CB7CE1">
        <w:rPr>
          <w:rFonts w:cs="Helvetica"/>
          <w:color w:val="000000"/>
          <w:lang w:val="en"/>
        </w:rPr>
        <w:t xml:space="preserve">With the exception of the Commonwealth Coat of Arms, this publication is provided under a </w:t>
      </w:r>
      <w:hyperlink r:id="rId9" w:tgtFrame="_blank" w:history="1">
        <w:r w:rsidR="00AF6724" w:rsidRPr="00CE6149">
          <w:rPr>
            <w:rStyle w:val="Hyperlink"/>
          </w:rPr>
          <w:t>Creative Commons Attribution 4.0 International Licence</w:t>
        </w:r>
      </w:hyperlink>
      <w:r w:rsidRPr="00CB7CE1">
        <w:rPr>
          <w:rFonts w:cs="Arial"/>
          <w:color w:val="000000"/>
        </w:rPr>
        <w:t>.</w:t>
      </w:r>
    </w:p>
    <w:p w14:paraId="0A5D5521" w14:textId="77777777" w:rsidR="00754843" w:rsidRPr="00CB7CE1" w:rsidRDefault="00754843" w:rsidP="00754843">
      <w:pPr>
        <w:autoSpaceDE w:val="0"/>
        <w:autoSpaceDN w:val="0"/>
        <w:adjustRightInd w:val="0"/>
        <w:spacing w:after="0"/>
        <w:rPr>
          <w:lang w:val="en"/>
        </w:rPr>
      </w:pPr>
    </w:p>
    <w:p w14:paraId="3997996C" w14:textId="77777777" w:rsidR="00754843" w:rsidRPr="00CB7CE1" w:rsidRDefault="000F3720" w:rsidP="00754843">
      <w:pPr>
        <w:autoSpaceDE w:val="0"/>
        <w:autoSpaceDN w:val="0"/>
        <w:adjustRightInd w:val="0"/>
        <w:spacing w:after="0"/>
        <w:rPr>
          <w:lang w:val="en"/>
        </w:rPr>
      </w:pPr>
      <w:r w:rsidRPr="00D06C01">
        <w:rPr>
          <w:noProof/>
          <w:color w:val="0000FF"/>
        </w:rPr>
        <w:drawing>
          <wp:inline distT="0" distB="0" distL="0" distR="0" wp14:anchorId="7D7AFBD9" wp14:editId="721CBA1A">
            <wp:extent cx="838200" cy="295275"/>
            <wp:effectExtent l="0" t="0" r="0" b="0"/>
            <wp:docPr id="2" name="Pictur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07E59430" w14:textId="77777777" w:rsidR="00754843" w:rsidRPr="00CB7CE1" w:rsidRDefault="00754843" w:rsidP="00754843">
      <w:pPr>
        <w:autoSpaceDE w:val="0"/>
        <w:autoSpaceDN w:val="0"/>
        <w:adjustRightInd w:val="0"/>
        <w:spacing w:after="0"/>
        <w:rPr>
          <w:rFonts w:cs="Arial"/>
        </w:rPr>
      </w:pPr>
    </w:p>
    <w:p w14:paraId="0D72A1A6" w14:textId="6AF00A82" w:rsidR="00754843" w:rsidRPr="00CB7CE1" w:rsidRDefault="00754843" w:rsidP="00754843">
      <w:pPr>
        <w:autoSpaceDE w:val="0"/>
        <w:autoSpaceDN w:val="0"/>
        <w:adjustRightInd w:val="0"/>
        <w:spacing w:after="0"/>
        <w:rPr>
          <w:rStyle w:val="Hyperlink"/>
        </w:rPr>
      </w:pPr>
      <w:r w:rsidRPr="00CB7CE1">
        <w:rPr>
          <w:rFonts w:cs="Arial"/>
          <w:color w:val="000000"/>
        </w:rPr>
        <w:t>The details of the relevant licence conditions are available on the Creative Commons website (accessible using the links provided) as is the</w:t>
      </w:r>
      <w:r w:rsidRPr="00CB7CE1">
        <w:rPr>
          <w:lang w:val="en"/>
        </w:rPr>
        <w:t xml:space="preserve"> </w:t>
      </w:r>
      <w:hyperlink r:id="rId12" w:history="1">
        <w:r w:rsidR="00AF6724">
          <w:rPr>
            <w:rStyle w:val="Hyperlink"/>
          </w:rPr>
          <w:t>full legal code for the CC BY 4.0 International licence</w:t>
        </w:r>
      </w:hyperlink>
      <w:r w:rsidRPr="00CB7CE1">
        <w:rPr>
          <w:rStyle w:val="Hyperlink"/>
        </w:rPr>
        <w:t>.</w:t>
      </w:r>
    </w:p>
    <w:p w14:paraId="01B0173A" w14:textId="77777777" w:rsidR="00754843" w:rsidRDefault="00754843" w:rsidP="00754843">
      <w:pPr>
        <w:tabs>
          <w:tab w:val="left" w:pos="7183"/>
        </w:tabs>
        <w:autoSpaceDE w:val="0"/>
        <w:autoSpaceDN w:val="0"/>
        <w:adjustRightInd w:val="0"/>
        <w:spacing w:after="0"/>
        <w:rPr>
          <w:lang w:val="en"/>
        </w:rPr>
      </w:pPr>
    </w:p>
    <w:p w14:paraId="5B77CF34" w14:textId="77777777" w:rsidR="00754843" w:rsidRPr="00CB7CE1" w:rsidRDefault="00754843" w:rsidP="00754843">
      <w:pPr>
        <w:spacing w:after="0"/>
        <w:outlineLvl w:val="0"/>
        <w:rPr>
          <w:lang w:val="en-US"/>
        </w:rPr>
      </w:pPr>
      <w:r w:rsidRPr="00CB7CE1">
        <w:rPr>
          <w:lang w:val="en-US"/>
        </w:rPr>
        <w:t xml:space="preserve">This publication should be attributed as </w:t>
      </w:r>
      <w:r w:rsidR="00AF6724">
        <w:rPr>
          <w:lang w:val="en-US"/>
        </w:rPr>
        <w:t xml:space="preserve">the </w:t>
      </w:r>
      <w:r w:rsidRPr="00AF6724">
        <w:rPr>
          <w:i/>
          <w:lang w:val="en-US"/>
        </w:rPr>
        <w:t>Liabi</w:t>
      </w:r>
      <w:r w:rsidR="00AF6724" w:rsidRPr="00AF6724">
        <w:rPr>
          <w:i/>
          <w:lang w:val="en-US"/>
        </w:rPr>
        <w:t>lity Risk Assessment Template</w:t>
      </w:r>
      <w:r w:rsidR="00AF6724">
        <w:rPr>
          <w:lang w:val="en-US"/>
        </w:rPr>
        <w:t xml:space="preserve"> </w:t>
      </w:r>
      <w:r w:rsidR="00AF6724" w:rsidRPr="00927BD4">
        <w:rPr>
          <w:lang w:val="en-US"/>
        </w:rPr>
        <w:t>V</w:t>
      </w:r>
      <w:r w:rsidRPr="00927BD4">
        <w:rPr>
          <w:lang w:val="en-US"/>
        </w:rPr>
        <w:t>2</w:t>
      </w:r>
      <w:r w:rsidR="00AF6724" w:rsidRPr="00927BD4">
        <w:rPr>
          <w:lang w:val="en-US"/>
        </w:rPr>
        <w:t>.</w:t>
      </w:r>
      <w:r w:rsidR="00927BD4">
        <w:rPr>
          <w:lang w:val="en-US"/>
        </w:rPr>
        <w:t>0</w:t>
      </w:r>
      <w:r w:rsidRPr="00CB7CE1">
        <w:rPr>
          <w:lang w:val="en-US"/>
        </w:rPr>
        <w:t>.</w:t>
      </w:r>
    </w:p>
    <w:p w14:paraId="1E54F482" w14:textId="77777777" w:rsidR="00754843" w:rsidRPr="000C4D1A" w:rsidRDefault="00754843" w:rsidP="00754843">
      <w:pPr>
        <w:spacing w:after="0"/>
      </w:pPr>
      <w:bookmarkStart w:id="0" w:name="_GoBack"/>
      <w:bookmarkEnd w:id="0"/>
    </w:p>
    <w:p w14:paraId="3C34D7F3" w14:textId="77777777" w:rsidR="00754843" w:rsidRPr="00CB7CE1" w:rsidRDefault="00754843" w:rsidP="00754843">
      <w:pPr>
        <w:spacing w:after="0"/>
        <w:outlineLvl w:val="0"/>
        <w:rPr>
          <w:b/>
          <w:lang w:val="en-US"/>
        </w:rPr>
      </w:pPr>
      <w:r w:rsidRPr="00CB7CE1">
        <w:rPr>
          <w:b/>
          <w:lang w:val="en-US"/>
        </w:rPr>
        <w:t>Use of the Coat of Arms</w:t>
      </w:r>
    </w:p>
    <w:p w14:paraId="524D4C02" w14:textId="15D00E25" w:rsidR="00754843" w:rsidRPr="00CB7CE1" w:rsidRDefault="00754843" w:rsidP="00754843">
      <w:pPr>
        <w:autoSpaceDE w:val="0"/>
        <w:autoSpaceDN w:val="0"/>
        <w:adjustRightInd w:val="0"/>
        <w:spacing w:after="0"/>
        <w:rPr>
          <w:lang w:val="en"/>
        </w:rPr>
      </w:pPr>
      <w:r w:rsidRPr="00CB7CE1">
        <w:rPr>
          <w:rFonts w:cs="Arial"/>
          <w:color w:val="000000"/>
        </w:rPr>
        <w:t>The terms under which the Coat of Arms can be used are detailed on the</w:t>
      </w:r>
      <w:r w:rsidRPr="00CB7CE1">
        <w:rPr>
          <w:rStyle w:val="Hyperlink"/>
        </w:rPr>
        <w:t xml:space="preserve"> </w:t>
      </w:r>
      <w:hyperlink r:id="rId13" w:history="1">
        <w:r w:rsidRPr="00CB7CE1">
          <w:rPr>
            <w:rStyle w:val="Hyperlink"/>
          </w:rPr>
          <w:t>It’s an Honour</w:t>
        </w:r>
      </w:hyperlink>
      <w:r w:rsidRPr="00CB7CE1">
        <w:rPr>
          <w:rStyle w:val="Hyperlink"/>
          <w:lang w:val="en"/>
        </w:rPr>
        <w:t xml:space="preserve"> </w:t>
      </w:r>
      <w:r w:rsidRPr="00CB7CE1">
        <w:rPr>
          <w:rFonts w:cs="Arial"/>
          <w:color w:val="000000"/>
        </w:rPr>
        <w:t>website.</w:t>
      </w:r>
    </w:p>
    <w:p w14:paraId="7A69D48C" w14:textId="77777777" w:rsidR="00754843" w:rsidRPr="00517A53" w:rsidRDefault="00754843" w:rsidP="00754843">
      <w:pPr>
        <w:spacing w:after="0"/>
      </w:pPr>
    </w:p>
    <w:p w14:paraId="490BE74F" w14:textId="77777777" w:rsidR="00754843" w:rsidRPr="00CB7CE1" w:rsidRDefault="00754843" w:rsidP="00754843">
      <w:pPr>
        <w:spacing w:after="0"/>
        <w:outlineLvl w:val="0"/>
        <w:rPr>
          <w:b/>
          <w:lang w:val="en-US"/>
        </w:rPr>
      </w:pPr>
      <w:r w:rsidRPr="00CB7CE1">
        <w:rPr>
          <w:b/>
          <w:lang w:val="en-US"/>
        </w:rPr>
        <w:t>Feedback</w:t>
      </w:r>
    </w:p>
    <w:p w14:paraId="68B5A3A1" w14:textId="77777777" w:rsidR="00754843" w:rsidRPr="00CB7CE1" w:rsidRDefault="00754843" w:rsidP="00754843">
      <w:pPr>
        <w:spacing w:after="0"/>
        <w:outlineLvl w:val="0"/>
        <w:rPr>
          <w:lang w:val="en-US"/>
        </w:rPr>
      </w:pPr>
      <w:r w:rsidRPr="00CB7CE1">
        <w:rPr>
          <w:lang w:val="en-US"/>
        </w:rPr>
        <w:t>All feedback on this publication and suggestions for improvement should be sent to:</w:t>
      </w:r>
    </w:p>
    <w:p w14:paraId="1B5340D7" w14:textId="69BB7117" w:rsidR="00754843" w:rsidRPr="00CB7CE1" w:rsidRDefault="003B6005" w:rsidP="00754843">
      <w:pPr>
        <w:spacing w:after="0"/>
        <w:outlineLvl w:val="0"/>
        <w:rPr>
          <w:lang w:val="en-US"/>
        </w:rPr>
      </w:pPr>
      <w:hyperlink r:id="rId14" w:history="1">
        <w:r w:rsidR="007831BE" w:rsidRPr="00245F19">
          <w:rPr>
            <w:rStyle w:val="Hyperlink"/>
            <w:lang w:val="en-US"/>
          </w:rPr>
          <w:t>Procurement.ASDEFCON@defence.gov.au</w:t>
        </w:r>
      </w:hyperlink>
      <w:r w:rsidR="007831BE">
        <w:rPr>
          <w:lang w:val="en-US"/>
        </w:rPr>
        <w:t xml:space="preserve"> </w:t>
      </w:r>
    </w:p>
    <w:p w14:paraId="63EB3A6A" w14:textId="77777777" w:rsidR="00754843" w:rsidRPr="00517A53" w:rsidRDefault="00754843" w:rsidP="00754843">
      <w:pPr>
        <w:spacing w:after="0"/>
      </w:pPr>
    </w:p>
    <w:p w14:paraId="522CEB32" w14:textId="77777777" w:rsidR="00754843" w:rsidRPr="00CB7CE1" w:rsidRDefault="00754843" w:rsidP="00754843">
      <w:pPr>
        <w:spacing w:after="0"/>
        <w:outlineLvl w:val="0"/>
        <w:rPr>
          <w:b/>
          <w:lang w:val="en-US"/>
        </w:rPr>
      </w:pPr>
      <w:r w:rsidRPr="00CB7CE1">
        <w:rPr>
          <w:b/>
          <w:lang w:val="en-US"/>
        </w:rPr>
        <w:t>Amendment Record</w:t>
      </w:r>
    </w:p>
    <w:p w14:paraId="2047AC37" w14:textId="77777777" w:rsidR="00754843" w:rsidRPr="009B1F71" w:rsidRDefault="00754843" w:rsidP="00754843">
      <w:pPr>
        <w:spacing w:after="0"/>
        <w:rPr>
          <w:rFonts w:cs="Arial"/>
        </w:rPr>
      </w:pPr>
    </w:p>
    <w:tbl>
      <w:tblPr>
        <w:tblW w:w="8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2262"/>
        <w:gridCol w:w="1786"/>
        <w:gridCol w:w="3008"/>
      </w:tblGrid>
      <w:tr w:rsidR="00754843" w:rsidRPr="00D27303" w14:paraId="4293E44B" w14:textId="77777777" w:rsidTr="00E548E8">
        <w:trPr>
          <w:jc w:val="center"/>
        </w:trPr>
        <w:tc>
          <w:tcPr>
            <w:tcW w:w="1372" w:type="dxa"/>
            <w:shd w:val="clear" w:color="auto" w:fill="CCCCCC"/>
            <w:vAlign w:val="center"/>
          </w:tcPr>
          <w:p w14:paraId="78A685A8" w14:textId="77777777" w:rsidR="00754843" w:rsidRPr="00D27303" w:rsidRDefault="00754843" w:rsidP="00754843">
            <w:pPr>
              <w:spacing w:after="0"/>
              <w:jc w:val="center"/>
              <w:rPr>
                <w:rFonts w:cs="Arial"/>
                <w:b/>
                <w:lang w:val="en-US"/>
              </w:rPr>
            </w:pPr>
            <w:r w:rsidRPr="00D27303">
              <w:rPr>
                <w:rFonts w:cs="Arial"/>
                <w:b/>
                <w:lang w:val="en-US"/>
              </w:rPr>
              <w:t>Version</w:t>
            </w:r>
          </w:p>
        </w:tc>
        <w:tc>
          <w:tcPr>
            <w:tcW w:w="2262" w:type="dxa"/>
            <w:shd w:val="clear" w:color="auto" w:fill="CCCCCC"/>
            <w:vAlign w:val="center"/>
          </w:tcPr>
          <w:p w14:paraId="27626968" w14:textId="77777777" w:rsidR="00754843" w:rsidRPr="00D27303" w:rsidRDefault="00754843" w:rsidP="00754843">
            <w:pPr>
              <w:spacing w:after="0"/>
              <w:jc w:val="center"/>
              <w:rPr>
                <w:rFonts w:cs="Arial"/>
                <w:b/>
                <w:lang w:val="en-US"/>
              </w:rPr>
            </w:pPr>
            <w:r w:rsidRPr="00D27303">
              <w:rPr>
                <w:rFonts w:cs="Arial"/>
                <w:b/>
                <w:lang w:val="en-US"/>
              </w:rPr>
              <w:t>Release Date</w:t>
            </w:r>
          </w:p>
        </w:tc>
        <w:tc>
          <w:tcPr>
            <w:tcW w:w="1786" w:type="dxa"/>
            <w:shd w:val="clear" w:color="auto" w:fill="CCCCCC"/>
            <w:vAlign w:val="center"/>
          </w:tcPr>
          <w:p w14:paraId="05727980" w14:textId="77777777" w:rsidR="00754843" w:rsidRPr="00D27303" w:rsidRDefault="00754843" w:rsidP="00754843">
            <w:pPr>
              <w:spacing w:after="0"/>
              <w:jc w:val="center"/>
              <w:rPr>
                <w:rFonts w:cs="Arial"/>
                <w:b/>
                <w:lang w:val="en-US"/>
              </w:rPr>
            </w:pPr>
            <w:r w:rsidRPr="00D27303">
              <w:rPr>
                <w:rFonts w:cs="Arial"/>
                <w:b/>
                <w:lang w:val="en-US"/>
              </w:rPr>
              <w:t>Closure Date</w:t>
            </w:r>
          </w:p>
        </w:tc>
        <w:tc>
          <w:tcPr>
            <w:tcW w:w="3008" w:type="dxa"/>
            <w:shd w:val="clear" w:color="auto" w:fill="CCCCCC"/>
            <w:vAlign w:val="center"/>
          </w:tcPr>
          <w:p w14:paraId="13ABD841" w14:textId="77777777" w:rsidR="00754843" w:rsidRPr="00D27303" w:rsidRDefault="00754843" w:rsidP="00754843">
            <w:pPr>
              <w:spacing w:after="0"/>
              <w:jc w:val="center"/>
              <w:rPr>
                <w:rFonts w:cs="Arial"/>
                <w:b/>
                <w:lang w:val="en-US"/>
              </w:rPr>
            </w:pPr>
            <w:r w:rsidRPr="00D27303">
              <w:rPr>
                <w:rFonts w:cs="Arial"/>
                <w:b/>
                <w:lang w:val="en-US"/>
              </w:rPr>
              <w:t>Description of Amendments</w:t>
            </w:r>
          </w:p>
        </w:tc>
      </w:tr>
      <w:tr w:rsidR="00754843" w:rsidRPr="00D27303" w14:paraId="4A88E949" w14:textId="77777777" w:rsidTr="00E548E8">
        <w:trPr>
          <w:jc w:val="center"/>
        </w:trPr>
        <w:tc>
          <w:tcPr>
            <w:tcW w:w="1372" w:type="dxa"/>
            <w:shd w:val="clear" w:color="auto" w:fill="auto"/>
            <w:vAlign w:val="center"/>
          </w:tcPr>
          <w:p w14:paraId="3EA9F14E" w14:textId="77777777" w:rsidR="00754843" w:rsidRPr="00D27303" w:rsidRDefault="00754843" w:rsidP="00754843">
            <w:pPr>
              <w:spacing w:after="0"/>
              <w:jc w:val="center"/>
              <w:rPr>
                <w:rFonts w:cs="Arial"/>
                <w:lang w:val="en-US"/>
              </w:rPr>
            </w:pPr>
            <w:r w:rsidRPr="00D27303">
              <w:rPr>
                <w:rFonts w:cs="Arial"/>
                <w:lang w:val="en-US"/>
              </w:rPr>
              <w:t>1.1</w:t>
            </w:r>
          </w:p>
        </w:tc>
        <w:tc>
          <w:tcPr>
            <w:tcW w:w="2262" w:type="dxa"/>
            <w:shd w:val="clear" w:color="auto" w:fill="auto"/>
            <w:vAlign w:val="center"/>
          </w:tcPr>
          <w:p w14:paraId="189B11EF" w14:textId="77777777" w:rsidR="00754843" w:rsidRPr="00D27303" w:rsidRDefault="00754843" w:rsidP="00754843">
            <w:pPr>
              <w:spacing w:after="0"/>
              <w:jc w:val="center"/>
              <w:rPr>
                <w:rFonts w:cs="Arial"/>
                <w:lang w:val="en-US"/>
              </w:rPr>
            </w:pPr>
            <w:r w:rsidRPr="00D27303">
              <w:rPr>
                <w:rFonts w:cs="Arial"/>
                <w:lang w:val="en-US"/>
              </w:rPr>
              <w:t>2 August 2011</w:t>
            </w:r>
          </w:p>
        </w:tc>
        <w:tc>
          <w:tcPr>
            <w:tcW w:w="1786" w:type="dxa"/>
            <w:shd w:val="clear" w:color="auto" w:fill="auto"/>
          </w:tcPr>
          <w:p w14:paraId="100BB413" w14:textId="77777777" w:rsidR="00754843" w:rsidRPr="00D27303" w:rsidRDefault="00754843" w:rsidP="00754843">
            <w:pPr>
              <w:spacing w:after="0"/>
              <w:rPr>
                <w:rFonts w:cs="Arial"/>
                <w:lang w:val="en-US"/>
              </w:rPr>
            </w:pPr>
          </w:p>
        </w:tc>
        <w:tc>
          <w:tcPr>
            <w:tcW w:w="3008" w:type="dxa"/>
            <w:shd w:val="clear" w:color="auto" w:fill="auto"/>
            <w:vAlign w:val="center"/>
          </w:tcPr>
          <w:p w14:paraId="2C0803DC" w14:textId="77777777" w:rsidR="00754843" w:rsidRPr="00D27303" w:rsidRDefault="00754843" w:rsidP="00754843">
            <w:pPr>
              <w:spacing w:after="0"/>
              <w:rPr>
                <w:rFonts w:cs="Arial"/>
                <w:lang w:val="en-US"/>
              </w:rPr>
            </w:pPr>
            <w:r w:rsidRPr="00D27303">
              <w:rPr>
                <w:rFonts w:cs="Arial"/>
                <w:lang w:val="en-US"/>
              </w:rPr>
              <w:t>Attached example from LRMP</w:t>
            </w:r>
          </w:p>
        </w:tc>
      </w:tr>
      <w:tr w:rsidR="00754843" w:rsidRPr="00D27303" w14:paraId="1D1E05D6" w14:textId="77777777" w:rsidTr="00E548E8">
        <w:trPr>
          <w:jc w:val="center"/>
        </w:trPr>
        <w:tc>
          <w:tcPr>
            <w:tcW w:w="1372" w:type="dxa"/>
            <w:shd w:val="clear" w:color="auto" w:fill="auto"/>
            <w:vAlign w:val="center"/>
          </w:tcPr>
          <w:p w14:paraId="016A719C" w14:textId="77777777" w:rsidR="00754843" w:rsidRPr="00D27303" w:rsidRDefault="00754843" w:rsidP="00754843">
            <w:pPr>
              <w:spacing w:after="0"/>
              <w:jc w:val="center"/>
              <w:rPr>
                <w:rFonts w:cs="Arial"/>
                <w:lang w:val="en-US"/>
              </w:rPr>
            </w:pPr>
            <w:r w:rsidRPr="00D27303">
              <w:rPr>
                <w:rFonts w:cs="Arial"/>
                <w:lang w:val="en-US"/>
              </w:rPr>
              <w:t>1.2</w:t>
            </w:r>
          </w:p>
        </w:tc>
        <w:tc>
          <w:tcPr>
            <w:tcW w:w="2262" w:type="dxa"/>
            <w:shd w:val="clear" w:color="auto" w:fill="auto"/>
            <w:vAlign w:val="center"/>
          </w:tcPr>
          <w:p w14:paraId="6B952A36" w14:textId="77777777" w:rsidR="00754843" w:rsidRPr="00D27303" w:rsidRDefault="00754843" w:rsidP="00754843">
            <w:pPr>
              <w:spacing w:after="0"/>
              <w:jc w:val="center"/>
              <w:rPr>
                <w:rFonts w:cs="Arial"/>
                <w:b/>
                <w:lang w:val="en-US"/>
              </w:rPr>
            </w:pPr>
            <w:r w:rsidRPr="00D27303">
              <w:rPr>
                <w:rFonts w:cs="Arial"/>
              </w:rPr>
              <w:t>16 February 2016</w:t>
            </w:r>
          </w:p>
        </w:tc>
        <w:tc>
          <w:tcPr>
            <w:tcW w:w="1786" w:type="dxa"/>
            <w:shd w:val="clear" w:color="auto" w:fill="auto"/>
          </w:tcPr>
          <w:p w14:paraId="548150D4" w14:textId="77777777" w:rsidR="00754843" w:rsidRPr="00D27303" w:rsidRDefault="00754843" w:rsidP="00754843">
            <w:pPr>
              <w:spacing w:after="0"/>
              <w:rPr>
                <w:rFonts w:cs="Arial"/>
                <w:b/>
                <w:lang w:val="en-US"/>
              </w:rPr>
            </w:pPr>
          </w:p>
        </w:tc>
        <w:tc>
          <w:tcPr>
            <w:tcW w:w="3008" w:type="dxa"/>
            <w:shd w:val="clear" w:color="auto" w:fill="auto"/>
            <w:vAlign w:val="center"/>
          </w:tcPr>
          <w:p w14:paraId="0006BA19" w14:textId="77777777" w:rsidR="00754843" w:rsidRPr="00D27303" w:rsidRDefault="00754843" w:rsidP="00754843">
            <w:pPr>
              <w:spacing w:after="0"/>
              <w:rPr>
                <w:rFonts w:cs="Arial"/>
                <w:lang w:val="en-US"/>
              </w:rPr>
            </w:pPr>
            <w:r w:rsidRPr="00D27303">
              <w:rPr>
                <w:rFonts w:cs="Arial"/>
                <w:lang w:val="en-US"/>
              </w:rPr>
              <w:t>Updates to CASG</w:t>
            </w:r>
          </w:p>
        </w:tc>
      </w:tr>
      <w:tr w:rsidR="00754843" w:rsidRPr="00D27303" w14:paraId="6CBCA7B4" w14:textId="77777777" w:rsidTr="00E548E8">
        <w:trPr>
          <w:jc w:val="center"/>
        </w:trPr>
        <w:tc>
          <w:tcPr>
            <w:tcW w:w="1372" w:type="dxa"/>
            <w:shd w:val="clear" w:color="auto" w:fill="auto"/>
            <w:vAlign w:val="center"/>
          </w:tcPr>
          <w:p w14:paraId="23D2916D" w14:textId="77777777" w:rsidR="00754843" w:rsidRPr="00252949" w:rsidRDefault="00AF6724" w:rsidP="00754843">
            <w:pPr>
              <w:spacing w:after="0"/>
              <w:jc w:val="center"/>
              <w:rPr>
                <w:rFonts w:cs="Arial"/>
                <w:lang w:val="en-US"/>
              </w:rPr>
            </w:pPr>
            <w:r w:rsidRPr="00252949">
              <w:rPr>
                <w:rFonts w:cs="Arial"/>
                <w:lang w:val="en-US"/>
              </w:rPr>
              <w:t>2.0</w:t>
            </w:r>
          </w:p>
        </w:tc>
        <w:tc>
          <w:tcPr>
            <w:tcW w:w="2262" w:type="dxa"/>
            <w:shd w:val="clear" w:color="auto" w:fill="auto"/>
            <w:vAlign w:val="center"/>
          </w:tcPr>
          <w:p w14:paraId="6021C9EE" w14:textId="55D85D5B" w:rsidR="00754843" w:rsidRPr="00252949" w:rsidRDefault="003B6005" w:rsidP="000F3720">
            <w:pPr>
              <w:spacing w:after="0"/>
              <w:jc w:val="center"/>
              <w:rPr>
                <w:rFonts w:cs="Arial"/>
                <w:lang w:val="en-US"/>
              </w:rPr>
            </w:pPr>
            <w:r>
              <w:rPr>
                <w:rFonts w:cs="Arial"/>
                <w:lang w:val="en-US"/>
              </w:rPr>
              <w:t>November</w:t>
            </w:r>
            <w:r w:rsidR="00252949" w:rsidRPr="00252949">
              <w:rPr>
                <w:rFonts w:cs="Arial"/>
                <w:lang w:val="en-US"/>
              </w:rPr>
              <w:t xml:space="preserve"> </w:t>
            </w:r>
            <w:r w:rsidR="000F3720" w:rsidRPr="00252949">
              <w:rPr>
                <w:rFonts w:cs="Arial"/>
                <w:lang w:val="en-US"/>
              </w:rPr>
              <w:t>2018</w:t>
            </w:r>
          </w:p>
        </w:tc>
        <w:tc>
          <w:tcPr>
            <w:tcW w:w="1786" w:type="dxa"/>
            <w:shd w:val="clear" w:color="auto" w:fill="auto"/>
          </w:tcPr>
          <w:p w14:paraId="0B4C864E" w14:textId="77777777" w:rsidR="00754843" w:rsidRPr="00252949" w:rsidRDefault="00754843" w:rsidP="00754843">
            <w:pPr>
              <w:spacing w:after="0"/>
              <w:rPr>
                <w:rFonts w:cs="Arial"/>
                <w:lang w:val="en-US"/>
              </w:rPr>
            </w:pPr>
          </w:p>
        </w:tc>
        <w:tc>
          <w:tcPr>
            <w:tcW w:w="3008" w:type="dxa"/>
            <w:shd w:val="clear" w:color="auto" w:fill="auto"/>
            <w:vAlign w:val="center"/>
          </w:tcPr>
          <w:p w14:paraId="11C925D2" w14:textId="77777777" w:rsidR="00754843" w:rsidRPr="00A4680B" w:rsidRDefault="00AF6724" w:rsidP="00754843">
            <w:pPr>
              <w:spacing w:after="0"/>
              <w:rPr>
                <w:rFonts w:cs="Arial"/>
                <w:lang w:val="en-US"/>
              </w:rPr>
            </w:pPr>
            <w:r w:rsidRPr="00252949">
              <w:rPr>
                <w:rFonts w:cs="Arial"/>
                <w:lang w:val="en-US"/>
              </w:rPr>
              <w:t xml:space="preserve">ASDEFCON </w:t>
            </w:r>
            <w:r w:rsidR="00754843" w:rsidRPr="00252949">
              <w:rPr>
                <w:rFonts w:cs="Arial"/>
                <w:lang w:val="en-US"/>
              </w:rPr>
              <w:t>Liability Reform</w:t>
            </w:r>
          </w:p>
        </w:tc>
      </w:tr>
    </w:tbl>
    <w:p w14:paraId="67140BCE" w14:textId="77777777" w:rsidR="00303F90" w:rsidRDefault="00303F90">
      <w:pPr>
        <w:pStyle w:val="GuideLV2Head-ASDEFCON"/>
        <w:sectPr w:rsidR="00303F90" w:rsidSect="00481CE6">
          <w:headerReference w:type="default" r:id="rId15"/>
          <w:footerReference w:type="default" r:id="rId16"/>
          <w:pgSz w:w="11906" w:h="16838"/>
          <w:pgMar w:top="1440" w:right="1797" w:bottom="1134" w:left="1797" w:header="709" w:footer="283"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pPr>
    </w:p>
    <w:p w14:paraId="1C7A89FF" w14:textId="12626C1B" w:rsidR="00497E94" w:rsidRDefault="00497E94" w:rsidP="00303F90">
      <w:pPr>
        <w:pStyle w:val="GuideLV2Head-ASDEFCON"/>
      </w:pPr>
      <w:r w:rsidRPr="00497E94">
        <w:rPr>
          <w:lang w:val="en-US"/>
        </w:rPr>
        <w:lastRenderedPageBreak/>
        <w:t>Introduction</w:t>
      </w:r>
      <w:r>
        <w:t xml:space="preserve"> </w:t>
      </w:r>
      <w:r w:rsidRPr="00497E94">
        <w:t>and Purpose</w:t>
      </w:r>
    </w:p>
    <w:p w14:paraId="7C560DAD" w14:textId="4C7770CE" w:rsidR="00146E80" w:rsidRDefault="00FA4569" w:rsidP="00727F9C">
      <w:pPr>
        <w:spacing w:before="120"/>
        <w:rPr>
          <w:rFonts w:cs="Arial"/>
        </w:rPr>
      </w:pPr>
      <w:r>
        <w:rPr>
          <w:rFonts w:cs="Arial"/>
        </w:rPr>
        <w:t xml:space="preserve">This </w:t>
      </w:r>
      <w:r w:rsidR="00727F9C">
        <w:rPr>
          <w:rFonts w:cs="Arial"/>
        </w:rPr>
        <w:t>template</w:t>
      </w:r>
      <w:r>
        <w:rPr>
          <w:rFonts w:cs="Arial"/>
        </w:rPr>
        <w:t xml:space="preserve"> is designed to assist Defence officials to undertake a Liability Risk Assessment </w:t>
      </w:r>
      <w:r w:rsidR="0047143C">
        <w:rPr>
          <w:rFonts w:cs="Arial"/>
        </w:rPr>
        <w:t xml:space="preserve">(LRA) </w:t>
      </w:r>
      <w:r>
        <w:rPr>
          <w:rFonts w:cs="Arial"/>
        </w:rPr>
        <w:t>for the purpose of developing and negotiating contract documentation.</w:t>
      </w:r>
      <w:r w:rsidR="008D6168">
        <w:rPr>
          <w:rFonts w:cs="Arial"/>
        </w:rPr>
        <w:t xml:space="preserve"> </w:t>
      </w:r>
      <w:r>
        <w:rPr>
          <w:rFonts w:cs="Arial"/>
        </w:rPr>
        <w:t xml:space="preserve"> </w:t>
      </w:r>
      <w:r w:rsidR="00727F9C">
        <w:rPr>
          <w:rFonts w:cs="Arial"/>
        </w:rPr>
        <w:t>Although the template can be used for any type of contract, its focus is the ASDEFCON templates and it</w:t>
      </w:r>
      <w:r w:rsidR="00146E80">
        <w:rPr>
          <w:rFonts w:cs="Arial"/>
        </w:rPr>
        <w:t xml:space="preserve"> </w:t>
      </w:r>
      <w:r w:rsidR="003D7987">
        <w:rPr>
          <w:rFonts w:cs="Arial"/>
        </w:rPr>
        <w:t xml:space="preserve">should be read in conjunction with the ASDEFCON Liability Handbook and the ASDEFCON Insurance Handbook. </w:t>
      </w:r>
      <w:r w:rsidR="00146E80">
        <w:rPr>
          <w:rFonts w:cs="Arial"/>
        </w:rPr>
        <w:t xml:space="preserve"> </w:t>
      </w:r>
    </w:p>
    <w:p w14:paraId="17672909" w14:textId="4329EF10" w:rsidR="00FA4569" w:rsidRDefault="0096518C" w:rsidP="00146E80">
      <w:pPr>
        <w:spacing w:before="120"/>
        <w:rPr>
          <w:rFonts w:cs="Arial"/>
        </w:rPr>
      </w:pPr>
      <w:r>
        <w:rPr>
          <w:rFonts w:cs="Arial"/>
        </w:rPr>
        <w:t>A</w:t>
      </w:r>
      <w:r w:rsidR="0047143C">
        <w:rPr>
          <w:rFonts w:cs="Arial"/>
        </w:rPr>
        <w:t>n LRA</w:t>
      </w:r>
      <w:r w:rsidR="00FA4569">
        <w:rPr>
          <w:rFonts w:cs="Arial"/>
        </w:rPr>
        <w:t xml:space="preserve"> is not intended to cover all risks </w:t>
      </w:r>
      <w:r>
        <w:rPr>
          <w:rFonts w:cs="Arial"/>
        </w:rPr>
        <w:t xml:space="preserve">associated </w:t>
      </w:r>
      <w:r w:rsidR="00FA4569">
        <w:rPr>
          <w:rFonts w:cs="Arial"/>
        </w:rPr>
        <w:t xml:space="preserve">with a particular project or contract (these risks would be captured in a Project Risk Log or Contract Risk Register). </w:t>
      </w:r>
      <w:r w:rsidR="008D6168">
        <w:rPr>
          <w:rFonts w:cs="Arial"/>
        </w:rPr>
        <w:t xml:space="preserve"> </w:t>
      </w:r>
      <w:r w:rsidR="00FA4569">
        <w:rPr>
          <w:rFonts w:cs="Arial"/>
        </w:rPr>
        <w:t xml:space="preserve">Instead, the </w:t>
      </w:r>
      <w:r w:rsidR="0047143C">
        <w:rPr>
          <w:rFonts w:cs="Arial"/>
        </w:rPr>
        <w:t>LRA</w:t>
      </w:r>
      <w:r w:rsidR="00FA4569">
        <w:rPr>
          <w:rFonts w:cs="Arial"/>
        </w:rPr>
        <w:t xml:space="preserve"> </w:t>
      </w:r>
      <w:r w:rsidR="00497E94">
        <w:rPr>
          <w:rFonts w:cs="Arial"/>
        </w:rPr>
        <w:t>focus</w:t>
      </w:r>
      <w:r w:rsidR="00FA4569">
        <w:rPr>
          <w:rFonts w:cs="Arial"/>
        </w:rPr>
        <w:t>es</w:t>
      </w:r>
      <w:r w:rsidR="00497E94">
        <w:rPr>
          <w:rFonts w:cs="Arial"/>
        </w:rPr>
        <w:t xml:space="preserve"> on</w:t>
      </w:r>
      <w:r>
        <w:rPr>
          <w:rFonts w:cs="Arial"/>
        </w:rPr>
        <w:t xml:space="preserve"> liabili</w:t>
      </w:r>
      <w:r w:rsidR="009721E1">
        <w:rPr>
          <w:rFonts w:cs="Arial"/>
        </w:rPr>
        <w:t xml:space="preserve">ty-related risks arising from a contractor’s performance of a </w:t>
      </w:r>
      <w:r>
        <w:rPr>
          <w:rFonts w:cs="Arial"/>
        </w:rPr>
        <w:t>proposed contract</w:t>
      </w:r>
      <w:r w:rsidR="0047143C">
        <w:rPr>
          <w:rFonts w:cs="Arial"/>
        </w:rPr>
        <w:t>.</w:t>
      </w:r>
      <w:r w:rsidR="00EB56A4">
        <w:rPr>
          <w:rFonts w:cs="Arial"/>
        </w:rPr>
        <w:t xml:space="preserve"> </w:t>
      </w:r>
      <w:r w:rsidR="0047143C">
        <w:rPr>
          <w:rFonts w:cs="Arial"/>
        </w:rPr>
        <w:t xml:space="preserve"> Conducting an LRA</w:t>
      </w:r>
      <w:r>
        <w:rPr>
          <w:rFonts w:cs="Arial"/>
        </w:rPr>
        <w:t xml:space="preserve"> involves</w:t>
      </w:r>
      <w:r w:rsidR="00FA4569">
        <w:rPr>
          <w:rFonts w:cs="Arial"/>
        </w:rPr>
        <w:t>:</w:t>
      </w:r>
      <w:r w:rsidR="00497E94">
        <w:rPr>
          <w:rFonts w:cs="Arial"/>
        </w:rPr>
        <w:t xml:space="preserve"> </w:t>
      </w:r>
    </w:p>
    <w:p w14:paraId="26A32ECD" w14:textId="77777777" w:rsidR="00FA4569" w:rsidRDefault="00497E94" w:rsidP="00727F9C">
      <w:pPr>
        <w:numPr>
          <w:ilvl w:val="0"/>
          <w:numId w:val="44"/>
        </w:numPr>
        <w:spacing w:before="120"/>
        <w:ind w:left="851" w:hanging="567"/>
        <w:rPr>
          <w:rFonts w:cs="Arial"/>
        </w:rPr>
      </w:pPr>
      <w:r>
        <w:rPr>
          <w:rFonts w:cs="Arial"/>
        </w:rPr>
        <w:t>identification of liability</w:t>
      </w:r>
      <w:r w:rsidR="00362419">
        <w:rPr>
          <w:rFonts w:cs="Arial"/>
        </w:rPr>
        <w:t xml:space="preserve"> risk</w:t>
      </w:r>
      <w:r w:rsidR="00EE75D6">
        <w:rPr>
          <w:rFonts w:cs="Arial"/>
        </w:rPr>
        <w:t xml:space="preserve">s </w:t>
      </w:r>
      <w:r w:rsidR="00EE75D6" w:rsidRPr="003E02C7">
        <w:rPr>
          <w:rFonts w:cs="Arial"/>
        </w:rPr>
        <w:t>addressed by the liability clauses of the contract</w:t>
      </w:r>
      <w:r w:rsidR="00FA4569">
        <w:rPr>
          <w:rFonts w:cs="Arial"/>
        </w:rPr>
        <w:t>;</w:t>
      </w:r>
      <w:r>
        <w:rPr>
          <w:rFonts w:cs="Arial"/>
        </w:rPr>
        <w:t xml:space="preserve"> </w:t>
      </w:r>
    </w:p>
    <w:p w14:paraId="5D472DEF" w14:textId="77777777" w:rsidR="0096518C" w:rsidRDefault="0096518C" w:rsidP="00727F9C">
      <w:pPr>
        <w:numPr>
          <w:ilvl w:val="0"/>
          <w:numId w:val="44"/>
        </w:numPr>
        <w:spacing w:before="120"/>
        <w:ind w:left="851" w:hanging="567"/>
        <w:rPr>
          <w:rFonts w:cs="Arial"/>
        </w:rPr>
      </w:pPr>
      <w:r>
        <w:rPr>
          <w:rFonts w:cs="Arial"/>
        </w:rPr>
        <w:t>assessment of the likelihood and consequences of those liability risks;</w:t>
      </w:r>
    </w:p>
    <w:p w14:paraId="0EBA2443" w14:textId="2F3B1E46" w:rsidR="00FA4569" w:rsidRDefault="0096518C" w:rsidP="00727F9C">
      <w:pPr>
        <w:numPr>
          <w:ilvl w:val="0"/>
          <w:numId w:val="44"/>
        </w:numPr>
        <w:spacing w:before="120"/>
        <w:ind w:left="851" w:hanging="567"/>
        <w:rPr>
          <w:rFonts w:cs="Arial"/>
        </w:rPr>
      </w:pPr>
      <w:r>
        <w:rPr>
          <w:rFonts w:cs="Arial"/>
        </w:rPr>
        <w:t xml:space="preserve">consideration as to how </w:t>
      </w:r>
      <w:r w:rsidR="00497E94">
        <w:rPr>
          <w:rFonts w:cs="Arial"/>
        </w:rPr>
        <w:t xml:space="preserve">those </w:t>
      </w:r>
      <w:r w:rsidR="00362419">
        <w:rPr>
          <w:rFonts w:cs="Arial"/>
        </w:rPr>
        <w:t>liability risks</w:t>
      </w:r>
      <w:r w:rsidR="00497E94">
        <w:rPr>
          <w:rFonts w:cs="Arial"/>
        </w:rPr>
        <w:t xml:space="preserve"> </w:t>
      </w:r>
      <w:r w:rsidR="00362419">
        <w:rPr>
          <w:rFonts w:cs="Arial"/>
        </w:rPr>
        <w:t xml:space="preserve">should be </w:t>
      </w:r>
      <w:r w:rsidR="00497E94">
        <w:rPr>
          <w:rFonts w:cs="Arial"/>
        </w:rPr>
        <w:t>managed and treated</w:t>
      </w:r>
      <w:r w:rsidR="00AC44FC">
        <w:rPr>
          <w:rFonts w:cs="Arial"/>
        </w:rPr>
        <w:t xml:space="preserve"> (including </w:t>
      </w:r>
      <w:r w:rsidR="00112A25">
        <w:rPr>
          <w:rFonts w:cs="Arial"/>
        </w:rPr>
        <w:t xml:space="preserve">whether particular liability risks </w:t>
      </w:r>
      <w:r w:rsidR="008201E1">
        <w:rPr>
          <w:rFonts w:cs="Arial"/>
        </w:rPr>
        <w:t xml:space="preserve">to the Commonwealth </w:t>
      </w:r>
      <w:r w:rsidR="00112A25">
        <w:rPr>
          <w:rFonts w:cs="Arial"/>
        </w:rPr>
        <w:t>should be capped</w:t>
      </w:r>
      <w:r w:rsidR="00AC44FC">
        <w:rPr>
          <w:rFonts w:cs="Arial"/>
        </w:rPr>
        <w:t>)</w:t>
      </w:r>
      <w:r w:rsidR="00FA4569">
        <w:rPr>
          <w:rFonts w:cs="Arial"/>
        </w:rPr>
        <w:t>;</w:t>
      </w:r>
      <w:r w:rsidR="00497E94">
        <w:rPr>
          <w:rFonts w:cs="Arial"/>
        </w:rPr>
        <w:t xml:space="preserve"> and </w:t>
      </w:r>
    </w:p>
    <w:p w14:paraId="160DCA2D" w14:textId="6F633704" w:rsidR="00497E94" w:rsidRDefault="00CD1537" w:rsidP="00727F9C">
      <w:pPr>
        <w:numPr>
          <w:ilvl w:val="0"/>
          <w:numId w:val="44"/>
        </w:numPr>
        <w:spacing w:before="120"/>
        <w:ind w:left="851" w:hanging="567"/>
        <w:rPr>
          <w:rFonts w:cs="Arial"/>
        </w:rPr>
      </w:pPr>
      <w:r>
        <w:rPr>
          <w:rFonts w:cs="Arial"/>
        </w:rPr>
        <w:t xml:space="preserve">quantification of appropriate liability caps (if </w:t>
      </w:r>
      <w:r w:rsidR="00112A25">
        <w:rPr>
          <w:rFonts w:cs="Arial"/>
        </w:rPr>
        <w:t>required</w:t>
      </w:r>
      <w:r>
        <w:rPr>
          <w:rFonts w:cs="Arial"/>
        </w:rPr>
        <w:t>) and required insurance limits</w:t>
      </w:r>
      <w:r w:rsidR="00EE75D6" w:rsidRPr="00201E21">
        <w:rPr>
          <w:rFonts w:cs="Arial"/>
        </w:rPr>
        <w:t>.</w:t>
      </w:r>
    </w:p>
    <w:p w14:paraId="6F516477" w14:textId="7AD33B85" w:rsidR="003D7987" w:rsidRDefault="003D7987" w:rsidP="00727F9C">
      <w:pPr>
        <w:spacing w:before="120"/>
        <w:rPr>
          <w:rFonts w:cs="Arial"/>
        </w:rPr>
      </w:pPr>
      <w:r>
        <w:rPr>
          <w:rFonts w:cs="Arial"/>
        </w:rPr>
        <w:t xml:space="preserve">All liability risks require assessment, regardless of whether the resulting liability would be capped or uncapped. </w:t>
      </w:r>
      <w:r w:rsidR="00112A25">
        <w:rPr>
          <w:rFonts w:cs="Arial"/>
        </w:rPr>
        <w:t xml:space="preserve"> </w:t>
      </w:r>
      <w:r w:rsidR="00D65746">
        <w:rPr>
          <w:rFonts w:cs="Arial"/>
        </w:rPr>
        <w:t xml:space="preserve">Defence’s ASDEFCON templates reflect a corporate </w:t>
      </w:r>
      <w:r w:rsidR="00EA70EB">
        <w:rPr>
          <w:rFonts w:cs="Arial"/>
        </w:rPr>
        <w:t xml:space="preserve">Defence </w:t>
      </w:r>
      <w:r w:rsidR="00D65746">
        <w:rPr>
          <w:rFonts w:cs="Arial"/>
        </w:rPr>
        <w:t xml:space="preserve">position </w:t>
      </w:r>
      <w:r w:rsidR="00EA70EB">
        <w:rPr>
          <w:rFonts w:cs="Arial"/>
        </w:rPr>
        <w:t xml:space="preserve">regarding </w:t>
      </w:r>
      <w:r w:rsidR="00D65746">
        <w:rPr>
          <w:rFonts w:cs="Arial"/>
        </w:rPr>
        <w:t xml:space="preserve">which liability risks may be capped and in which types of contracts it would be expected that </w:t>
      </w:r>
      <w:r w:rsidR="00046DB7">
        <w:rPr>
          <w:rFonts w:cs="Arial"/>
        </w:rPr>
        <w:t xml:space="preserve">liability </w:t>
      </w:r>
      <w:r w:rsidR="00D65746">
        <w:rPr>
          <w:rFonts w:cs="Arial"/>
        </w:rPr>
        <w:t xml:space="preserve">risks are capped.  </w:t>
      </w:r>
      <w:r>
        <w:rPr>
          <w:rFonts w:cs="Arial"/>
        </w:rPr>
        <w:t>Risks that</w:t>
      </w:r>
      <w:r w:rsidR="00D64425">
        <w:rPr>
          <w:rFonts w:cs="Arial"/>
        </w:rPr>
        <w:t xml:space="preserve"> </w:t>
      </w:r>
      <w:r>
        <w:rPr>
          <w:rFonts w:cs="Arial"/>
        </w:rPr>
        <w:t xml:space="preserve">could give rise to uncapped liabilities </w:t>
      </w:r>
      <w:r w:rsidR="00D64425">
        <w:rPr>
          <w:rFonts w:cs="Arial"/>
        </w:rPr>
        <w:t xml:space="preserve">require assessment to allow a project to understand the </w:t>
      </w:r>
      <w:r>
        <w:rPr>
          <w:rFonts w:cs="Arial"/>
        </w:rPr>
        <w:t>risk profile of the contract</w:t>
      </w:r>
      <w:r w:rsidR="00046DB7">
        <w:rPr>
          <w:rFonts w:cs="Arial"/>
        </w:rPr>
        <w:t xml:space="preserve"> to Defence and </w:t>
      </w:r>
      <w:r w:rsidR="00146E80">
        <w:rPr>
          <w:rFonts w:cs="Arial"/>
        </w:rPr>
        <w:t>the level of</w:t>
      </w:r>
      <w:r w:rsidR="00D64425">
        <w:rPr>
          <w:rFonts w:cs="Arial"/>
        </w:rPr>
        <w:t xml:space="preserve"> risk</w:t>
      </w:r>
      <w:r w:rsidR="00146E80">
        <w:rPr>
          <w:rFonts w:cs="Arial"/>
        </w:rPr>
        <w:t xml:space="preserve"> that</w:t>
      </w:r>
      <w:r w:rsidR="00D64425">
        <w:rPr>
          <w:rFonts w:cs="Arial"/>
        </w:rPr>
        <w:t xml:space="preserve"> the contractor is realistically assuming. </w:t>
      </w:r>
      <w:r w:rsidR="00112A25">
        <w:rPr>
          <w:rFonts w:cs="Arial"/>
        </w:rPr>
        <w:t xml:space="preserve"> </w:t>
      </w:r>
      <w:r w:rsidR="00D64425">
        <w:rPr>
          <w:rFonts w:cs="Arial"/>
        </w:rPr>
        <w:t xml:space="preserve">This knowledge </w:t>
      </w:r>
      <w:r>
        <w:rPr>
          <w:rFonts w:cs="Arial"/>
        </w:rPr>
        <w:t>can</w:t>
      </w:r>
      <w:r w:rsidR="00D64425">
        <w:rPr>
          <w:rFonts w:cs="Arial"/>
        </w:rPr>
        <w:t xml:space="preserve"> be used to</w:t>
      </w:r>
      <w:r>
        <w:rPr>
          <w:rFonts w:cs="Arial"/>
        </w:rPr>
        <w:t xml:space="preserve"> assess appropriate insurance types and limits, to</w:t>
      </w:r>
      <w:r w:rsidR="00D64425">
        <w:rPr>
          <w:rFonts w:cs="Arial"/>
        </w:rPr>
        <w:t xml:space="preserve"> support negotiations</w:t>
      </w:r>
      <w:r>
        <w:rPr>
          <w:rFonts w:cs="Arial"/>
        </w:rPr>
        <w:t xml:space="preserve"> with the contractor,</w:t>
      </w:r>
      <w:r w:rsidR="00D64425">
        <w:rPr>
          <w:rFonts w:cs="Arial"/>
        </w:rPr>
        <w:t xml:space="preserve"> and to inform delegates. </w:t>
      </w:r>
    </w:p>
    <w:p w14:paraId="0A766621" w14:textId="6F470E27" w:rsidR="00FA4569" w:rsidRDefault="00D64425" w:rsidP="003D7987">
      <w:pPr>
        <w:spacing w:before="120"/>
        <w:rPr>
          <w:rFonts w:cs="Arial"/>
        </w:rPr>
      </w:pPr>
      <w:r>
        <w:rPr>
          <w:rFonts w:cs="Arial"/>
        </w:rPr>
        <w:t xml:space="preserve">An LRA </w:t>
      </w:r>
      <w:r w:rsidR="00FA4569">
        <w:rPr>
          <w:rFonts w:cs="Arial"/>
        </w:rPr>
        <w:t xml:space="preserve">should be undertaken prior to the release of any approach to market documentation and should be updated </w:t>
      </w:r>
      <w:r w:rsidR="00B7088A">
        <w:rPr>
          <w:rFonts w:cs="Arial"/>
        </w:rPr>
        <w:t>as appropriate</w:t>
      </w:r>
      <w:r w:rsidR="009966AB">
        <w:rPr>
          <w:rFonts w:cs="Arial"/>
        </w:rPr>
        <w:t xml:space="preserve"> </w:t>
      </w:r>
      <w:r w:rsidR="00FA4569">
        <w:rPr>
          <w:rFonts w:cs="Arial"/>
        </w:rPr>
        <w:t xml:space="preserve">during any contract negotiations and maintained throughout the life of any resultant contract. </w:t>
      </w:r>
      <w:r w:rsidR="008D6168">
        <w:rPr>
          <w:rFonts w:cs="Arial"/>
        </w:rPr>
        <w:t xml:space="preserve"> </w:t>
      </w:r>
    </w:p>
    <w:p w14:paraId="13F6E5FB" w14:textId="15202320" w:rsidR="002C0D74" w:rsidRDefault="002C0D74" w:rsidP="002C0D74">
      <w:pPr>
        <w:pStyle w:val="GuideLV2Head-ASDEFCON"/>
        <w:rPr>
          <w:rFonts w:cs="Arial"/>
        </w:rPr>
      </w:pPr>
      <w:r>
        <w:rPr>
          <w:rFonts w:cs="Arial"/>
        </w:rPr>
        <w:t>Template Structure</w:t>
      </w:r>
    </w:p>
    <w:p w14:paraId="4170C108" w14:textId="77777777" w:rsidR="00A06B6D" w:rsidRDefault="000427B8" w:rsidP="00CB2E71">
      <w:pPr>
        <w:spacing w:before="120"/>
        <w:rPr>
          <w:rFonts w:cs="Arial"/>
        </w:rPr>
      </w:pPr>
      <w:r>
        <w:rPr>
          <w:rFonts w:cs="Arial"/>
        </w:rPr>
        <w:t>This template consists of</w:t>
      </w:r>
      <w:r w:rsidR="00A06B6D">
        <w:rPr>
          <w:rFonts w:cs="Arial"/>
        </w:rPr>
        <w:t>:</w:t>
      </w:r>
    </w:p>
    <w:p w14:paraId="536C3F20" w14:textId="5C6AD5B5" w:rsidR="00B7088A" w:rsidRDefault="000427B8" w:rsidP="00CB2E71">
      <w:pPr>
        <w:numPr>
          <w:ilvl w:val="0"/>
          <w:numId w:val="44"/>
        </w:numPr>
        <w:spacing w:before="120"/>
        <w:ind w:left="851" w:hanging="567"/>
        <w:rPr>
          <w:rFonts w:cs="Arial"/>
        </w:rPr>
      </w:pPr>
      <w:r w:rsidRPr="00A06B6D">
        <w:rPr>
          <w:rFonts w:cs="Arial"/>
        </w:rPr>
        <w:t xml:space="preserve">a </w:t>
      </w:r>
      <w:r w:rsidRPr="00CA1C9D">
        <w:rPr>
          <w:rFonts w:cs="Arial"/>
        </w:rPr>
        <w:t>Contract Liability Risk L</w:t>
      </w:r>
      <w:r w:rsidRPr="008108A7">
        <w:rPr>
          <w:rFonts w:cs="Arial"/>
        </w:rPr>
        <w:t>og</w:t>
      </w:r>
      <w:r w:rsidR="004F6A5D" w:rsidRPr="008108A7">
        <w:rPr>
          <w:rFonts w:cs="Arial"/>
        </w:rPr>
        <w:t xml:space="preserve"> (Table 1)</w:t>
      </w:r>
      <w:r w:rsidR="00B7088A">
        <w:rPr>
          <w:rFonts w:cs="Arial"/>
        </w:rPr>
        <w:t>;</w:t>
      </w:r>
    </w:p>
    <w:p w14:paraId="3E12ED75" w14:textId="19FAEAF3" w:rsidR="00D64425" w:rsidRDefault="000427B8" w:rsidP="00CB2E71">
      <w:pPr>
        <w:numPr>
          <w:ilvl w:val="0"/>
          <w:numId w:val="44"/>
        </w:numPr>
        <w:spacing w:before="120"/>
        <w:ind w:left="851" w:hanging="567"/>
        <w:rPr>
          <w:rFonts w:cs="Arial"/>
        </w:rPr>
      </w:pPr>
      <w:r w:rsidRPr="00CA1C9D">
        <w:rPr>
          <w:rFonts w:cs="Arial"/>
        </w:rPr>
        <w:t xml:space="preserve">a </w:t>
      </w:r>
      <w:r w:rsidR="004F6A5D" w:rsidRPr="00CA1C9D">
        <w:rPr>
          <w:rFonts w:cs="Arial"/>
        </w:rPr>
        <w:t>Proposed Liability</w:t>
      </w:r>
      <w:r w:rsidR="004F6A5D" w:rsidRPr="008108A7">
        <w:rPr>
          <w:rFonts w:cs="Arial"/>
        </w:rPr>
        <w:t xml:space="preserve"> Cap</w:t>
      </w:r>
      <w:r w:rsidR="00CB46E5">
        <w:rPr>
          <w:rFonts w:cs="Arial"/>
        </w:rPr>
        <w:t>s</w:t>
      </w:r>
      <w:r w:rsidR="004F6A5D" w:rsidRPr="008108A7">
        <w:rPr>
          <w:rFonts w:cs="Arial"/>
        </w:rPr>
        <w:t xml:space="preserve"> table (Table 2)</w:t>
      </w:r>
      <w:r w:rsidR="00B7088A">
        <w:rPr>
          <w:rFonts w:cs="Arial"/>
        </w:rPr>
        <w:t>;</w:t>
      </w:r>
    </w:p>
    <w:p w14:paraId="38E959D6" w14:textId="311CFC7A" w:rsidR="00B7088A" w:rsidRDefault="00CB46E5" w:rsidP="00D64425">
      <w:pPr>
        <w:numPr>
          <w:ilvl w:val="0"/>
          <w:numId w:val="44"/>
        </w:numPr>
        <w:spacing w:before="120"/>
        <w:ind w:left="851" w:hanging="567"/>
        <w:rPr>
          <w:rFonts w:cs="Arial"/>
        </w:rPr>
      </w:pPr>
      <w:r>
        <w:rPr>
          <w:rFonts w:cs="Arial"/>
        </w:rPr>
        <w:t xml:space="preserve">a </w:t>
      </w:r>
      <w:r w:rsidR="00D64425">
        <w:rPr>
          <w:rFonts w:cs="Arial"/>
        </w:rPr>
        <w:t>Proposed Insurance Types and Limits table (Table 3);</w:t>
      </w:r>
    </w:p>
    <w:p w14:paraId="32FF50DA" w14:textId="63D31A58" w:rsidR="008108A7" w:rsidRDefault="004F6A5D" w:rsidP="00CB2E71">
      <w:pPr>
        <w:numPr>
          <w:ilvl w:val="0"/>
          <w:numId w:val="44"/>
        </w:numPr>
        <w:spacing w:before="120"/>
        <w:ind w:left="851" w:hanging="567"/>
        <w:rPr>
          <w:rFonts w:cs="Arial"/>
        </w:rPr>
      </w:pPr>
      <w:r w:rsidRPr="00CA1C9D">
        <w:rPr>
          <w:rFonts w:cs="Arial"/>
        </w:rPr>
        <w:t xml:space="preserve">an </w:t>
      </w:r>
      <w:r w:rsidR="00D14727" w:rsidRPr="00CA1C9D">
        <w:rPr>
          <w:rFonts w:cs="Arial"/>
        </w:rPr>
        <w:t>Assessment</w:t>
      </w:r>
      <w:r w:rsidRPr="00CA1C9D">
        <w:rPr>
          <w:rFonts w:cs="Arial"/>
        </w:rPr>
        <w:t xml:space="preserve"> Record Sheet</w:t>
      </w:r>
      <w:r w:rsidR="008108A7">
        <w:rPr>
          <w:rFonts w:cs="Arial"/>
        </w:rPr>
        <w:t>; and</w:t>
      </w:r>
    </w:p>
    <w:p w14:paraId="4791E1B0" w14:textId="7C1D07F3" w:rsidR="000427B8" w:rsidRPr="008108A7" w:rsidRDefault="008108A7" w:rsidP="008108A7">
      <w:pPr>
        <w:numPr>
          <w:ilvl w:val="0"/>
          <w:numId w:val="44"/>
        </w:numPr>
        <w:spacing w:before="120"/>
        <w:ind w:left="851" w:hanging="567"/>
        <w:rPr>
          <w:rFonts w:cs="Arial"/>
        </w:rPr>
      </w:pPr>
      <w:r>
        <w:rPr>
          <w:rFonts w:cs="Arial"/>
        </w:rPr>
        <w:t>Annex A: Overview of the Liability Risk Assessment Process.</w:t>
      </w:r>
    </w:p>
    <w:p w14:paraId="10F9A5C6" w14:textId="28DA7FFE" w:rsidR="0096518C" w:rsidRDefault="00B7088A" w:rsidP="00FA4569">
      <w:pPr>
        <w:spacing w:after="0"/>
        <w:rPr>
          <w:rFonts w:cs="Arial"/>
        </w:rPr>
      </w:pPr>
      <w:r>
        <w:rPr>
          <w:rFonts w:cs="Arial"/>
        </w:rPr>
        <w:t>Table 1</w:t>
      </w:r>
      <w:r w:rsidR="004F6A5D">
        <w:rPr>
          <w:rFonts w:cs="Arial"/>
        </w:rPr>
        <w:t xml:space="preserve"> should be completed first</w:t>
      </w:r>
      <w:r w:rsidR="00046DB7">
        <w:rPr>
          <w:rFonts w:cs="Arial"/>
        </w:rPr>
        <w:t xml:space="preserve"> by Defence officials conducting </w:t>
      </w:r>
      <w:r w:rsidR="0047143C">
        <w:rPr>
          <w:rFonts w:cs="Arial"/>
        </w:rPr>
        <w:t>an LRA</w:t>
      </w:r>
      <w:r w:rsidR="000C5CA7">
        <w:rPr>
          <w:rFonts w:cs="Arial"/>
        </w:rPr>
        <w:t xml:space="preserve"> </w:t>
      </w:r>
      <w:r w:rsidR="004F6A5D">
        <w:rPr>
          <w:rFonts w:cs="Arial"/>
        </w:rPr>
        <w:t xml:space="preserve">against the </w:t>
      </w:r>
      <w:r w:rsidR="006D4A46">
        <w:rPr>
          <w:rFonts w:cs="Arial"/>
        </w:rPr>
        <w:t>nine</w:t>
      </w:r>
      <w:r w:rsidR="004F6A5D">
        <w:rPr>
          <w:rFonts w:cs="Arial"/>
        </w:rPr>
        <w:t xml:space="preserve"> standard liability risks.</w:t>
      </w:r>
      <w:r>
        <w:rPr>
          <w:rFonts w:cs="Arial"/>
        </w:rPr>
        <w:t xml:space="preserve">  Each </w:t>
      </w:r>
      <w:r w:rsidR="00046DB7">
        <w:rPr>
          <w:rFonts w:cs="Arial"/>
        </w:rPr>
        <w:t xml:space="preserve">row in Table 1 refers to a </w:t>
      </w:r>
      <w:r>
        <w:rPr>
          <w:rFonts w:cs="Arial"/>
        </w:rPr>
        <w:t>standard liability risk</w:t>
      </w:r>
      <w:r w:rsidR="00046DB7">
        <w:rPr>
          <w:rFonts w:cs="Arial"/>
        </w:rPr>
        <w:t>,</w:t>
      </w:r>
      <w:r>
        <w:rPr>
          <w:rFonts w:cs="Arial"/>
        </w:rPr>
        <w:t xml:space="preserve"> refer</w:t>
      </w:r>
      <w:r w:rsidR="00CF0DA9">
        <w:rPr>
          <w:rFonts w:cs="Arial"/>
        </w:rPr>
        <w:t>s</w:t>
      </w:r>
      <w:r>
        <w:rPr>
          <w:rFonts w:cs="Arial"/>
        </w:rPr>
        <w:t xml:space="preserve"> to </w:t>
      </w:r>
      <w:r w:rsidR="00CF0DA9">
        <w:rPr>
          <w:rFonts w:cs="Arial"/>
        </w:rPr>
        <w:t>relevant ASDEFCON</w:t>
      </w:r>
      <w:r>
        <w:rPr>
          <w:rFonts w:cs="Arial"/>
        </w:rPr>
        <w:t xml:space="preserve"> liability clause/s</w:t>
      </w:r>
      <w:r w:rsidR="00F07D8B">
        <w:rPr>
          <w:rFonts w:cs="Arial"/>
        </w:rPr>
        <w:t xml:space="preserve"> and </w:t>
      </w:r>
      <w:r w:rsidR="00046DB7">
        <w:rPr>
          <w:rFonts w:cs="Arial"/>
        </w:rPr>
        <w:t xml:space="preserve">identifies </w:t>
      </w:r>
      <w:r w:rsidR="00F07D8B">
        <w:rPr>
          <w:rFonts w:cs="Arial"/>
        </w:rPr>
        <w:t>whether the risk may be capped</w:t>
      </w:r>
      <w:r>
        <w:rPr>
          <w:rFonts w:cs="Arial"/>
        </w:rPr>
        <w:t>.</w:t>
      </w:r>
      <w:r w:rsidR="004F6A5D">
        <w:rPr>
          <w:rFonts w:cs="Arial"/>
        </w:rPr>
        <w:t xml:space="preserve"> </w:t>
      </w:r>
      <w:r>
        <w:rPr>
          <w:rFonts w:cs="Arial"/>
        </w:rPr>
        <w:t xml:space="preserve"> </w:t>
      </w:r>
      <w:r w:rsidR="008108A7">
        <w:rPr>
          <w:rFonts w:cs="Arial"/>
        </w:rPr>
        <w:t>If a project specific risk exists that is outside the standard nine liability risks it may also be considered here</w:t>
      </w:r>
      <w:r w:rsidR="00046DB7">
        <w:rPr>
          <w:rFonts w:cs="Arial"/>
        </w:rPr>
        <w:t xml:space="preserve"> by adding an additional row</w:t>
      </w:r>
      <w:r w:rsidR="008108A7">
        <w:rPr>
          <w:rFonts w:cs="Arial"/>
        </w:rPr>
        <w:t xml:space="preserve">.  </w:t>
      </w:r>
      <w:r>
        <w:rPr>
          <w:rFonts w:cs="Arial"/>
        </w:rPr>
        <w:t xml:space="preserve">Where a risk is subject to a liability cap, </w:t>
      </w:r>
      <w:r w:rsidR="00046DB7">
        <w:rPr>
          <w:rFonts w:cs="Arial"/>
        </w:rPr>
        <w:t xml:space="preserve">the </w:t>
      </w:r>
      <w:r w:rsidR="00AB4E27">
        <w:rPr>
          <w:rFonts w:cs="Arial"/>
        </w:rPr>
        <w:t xml:space="preserve">financial </w:t>
      </w:r>
      <w:r>
        <w:rPr>
          <w:rFonts w:cs="Arial"/>
        </w:rPr>
        <w:t xml:space="preserve">impact </w:t>
      </w:r>
      <w:r w:rsidR="00046DB7">
        <w:rPr>
          <w:rFonts w:cs="Arial"/>
        </w:rPr>
        <w:t xml:space="preserve">of the risk </w:t>
      </w:r>
      <w:r>
        <w:rPr>
          <w:rFonts w:cs="Arial"/>
        </w:rPr>
        <w:t>will inform the proposed liability cap at Table 2.</w:t>
      </w:r>
      <w:r w:rsidR="004F6A5D">
        <w:rPr>
          <w:rFonts w:cs="Arial"/>
        </w:rPr>
        <w:t xml:space="preserve"> </w:t>
      </w:r>
      <w:r>
        <w:rPr>
          <w:rFonts w:cs="Arial"/>
        </w:rPr>
        <w:t xml:space="preserve"> </w:t>
      </w:r>
      <w:r w:rsidR="004F6A5D">
        <w:rPr>
          <w:rFonts w:cs="Arial"/>
        </w:rPr>
        <w:t>S</w:t>
      </w:r>
      <w:r w:rsidR="0004427A">
        <w:rPr>
          <w:rFonts w:cs="Arial"/>
        </w:rPr>
        <w:t xml:space="preserve">ee Annex </w:t>
      </w:r>
      <w:r w:rsidR="004F6A5D">
        <w:rPr>
          <w:rFonts w:cs="Arial"/>
        </w:rPr>
        <w:t xml:space="preserve">A </w:t>
      </w:r>
      <w:r w:rsidR="0004427A">
        <w:rPr>
          <w:rFonts w:cs="Arial"/>
        </w:rPr>
        <w:t xml:space="preserve">for guidance on </w:t>
      </w:r>
      <w:r w:rsidR="004F6A5D">
        <w:rPr>
          <w:rFonts w:cs="Arial"/>
        </w:rPr>
        <w:t xml:space="preserve">conducting </w:t>
      </w:r>
      <w:r w:rsidR="0047143C">
        <w:rPr>
          <w:rFonts w:cs="Arial"/>
        </w:rPr>
        <w:t>an LRA</w:t>
      </w:r>
      <w:r w:rsidR="000C5CA7">
        <w:rPr>
          <w:rFonts w:cs="Arial"/>
        </w:rPr>
        <w:t xml:space="preserve">. </w:t>
      </w:r>
    </w:p>
    <w:p w14:paraId="04B5D1B2" w14:textId="616D0ACA" w:rsidR="004B29E4" w:rsidRDefault="00AC44FC" w:rsidP="00CB2E71">
      <w:pPr>
        <w:spacing w:before="120"/>
        <w:rPr>
          <w:rFonts w:cs="Arial"/>
        </w:rPr>
      </w:pPr>
      <w:r>
        <w:rPr>
          <w:rFonts w:cs="Arial"/>
        </w:rPr>
        <w:t xml:space="preserve">Table 2 has been specifically developed for use with the ASDEFCON liability caps, which are Core provisions in the high level ASDEFCON templates.  </w:t>
      </w:r>
      <w:r w:rsidR="008108A7">
        <w:rPr>
          <w:rFonts w:cs="Arial"/>
        </w:rPr>
        <w:t xml:space="preserve">Guidance on what to include at each column of Table 2 is </w:t>
      </w:r>
      <w:r w:rsidR="00046DB7">
        <w:rPr>
          <w:rFonts w:cs="Arial"/>
        </w:rPr>
        <w:t xml:space="preserve">provided </w:t>
      </w:r>
      <w:r w:rsidR="008108A7">
        <w:rPr>
          <w:rFonts w:cs="Arial"/>
        </w:rPr>
        <w:t>with the table</w:t>
      </w:r>
      <w:r w:rsidR="00046DB7">
        <w:rPr>
          <w:rFonts w:cs="Arial"/>
        </w:rPr>
        <w:t xml:space="preserve"> in a note to drafters</w:t>
      </w:r>
      <w:r w:rsidR="008108A7">
        <w:rPr>
          <w:rFonts w:cs="Arial"/>
        </w:rPr>
        <w:t>.</w:t>
      </w:r>
      <w:r w:rsidR="0063307B">
        <w:rPr>
          <w:rFonts w:cs="Arial"/>
        </w:rPr>
        <w:t xml:space="preserve"> </w:t>
      </w:r>
      <w:r w:rsidR="008108A7">
        <w:rPr>
          <w:rFonts w:cs="Arial"/>
        </w:rPr>
        <w:t xml:space="preserve"> </w:t>
      </w:r>
      <w:r>
        <w:rPr>
          <w:rFonts w:cs="Arial"/>
        </w:rPr>
        <w:t xml:space="preserve">If you are using a </w:t>
      </w:r>
      <w:r w:rsidR="0071463B">
        <w:rPr>
          <w:rFonts w:cs="Arial"/>
        </w:rPr>
        <w:t>non-ASDEFCON</w:t>
      </w:r>
      <w:r>
        <w:rPr>
          <w:rFonts w:cs="Arial"/>
        </w:rPr>
        <w:t xml:space="preserve"> contracting template with a different liability cap regime, Table 2 will require tailoring.</w:t>
      </w:r>
    </w:p>
    <w:p w14:paraId="7DCAE9C9" w14:textId="247F0601" w:rsidR="00146E80" w:rsidRDefault="00146E80" w:rsidP="00146E80">
      <w:pPr>
        <w:spacing w:before="120"/>
        <w:rPr>
          <w:rFonts w:cs="Arial"/>
        </w:rPr>
      </w:pPr>
      <w:r>
        <w:rPr>
          <w:rFonts w:cs="Arial"/>
        </w:rPr>
        <w:t>Table 3 covers the types of insurance policies contained in the ASDEFCON insurance clauses and describes the losses that each policy insures against.</w:t>
      </w:r>
      <w:r w:rsidR="0063307B">
        <w:rPr>
          <w:rFonts w:cs="Arial"/>
        </w:rPr>
        <w:t xml:space="preserve"> </w:t>
      </w:r>
      <w:r>
        <w:rPr>
          <w:rFonts w:cs="Arial"/>
        </w:rPr>
        <w:t xml:space="preserve"> </w:t>
      </w:r>
      <w:r w:rsidR="00620413">
        <w:rPr>
          <w:rFonts w:cs="Arial"/>
        </w:rPr>
        <w:t>See</w:t>
      </w:r>
      <w:r>
        <w:rPr>
          <w:rFonts w:cs="Arial"/>
        </w:rPr>
        <w:t xml:space="preserve"> the ASDEFCON Insurance Handbook</w:t>
      </w:r>
      <w:r w:rsidR="00620413">
        <w:rPr>
          <w:rFonts w:cs="Arial"/>
        </w:rPr>
        <w:t xml:space="preserve"> for further guidance</w:t>
      </w:r>
      <w:r>
        <w:rPr>
          <w:rFonts w:cs="Arial"/>
        </w:rPr>
        <w:t>.</w:t>
      </w:r>
    </w:p>
    <w:p w14:paraId="4EFADB39" w14:textId="5A1C02B4" w:rsidR="00615378" w:rsidRPr="00E548E8" w:rsidRDefault="000F0C07" w:rsidP="0063307B">
      <w:pPr>
        <w:keepNext/>
        <w:spacing w:before="120"/>
        <w:rPr>
          <w:rFonts w:cs="Arial"/>
          <w:szCs w:val="20"/>
        </w:rPr>
      </w:pPr>
      <w:r w:rsidRPr="00E548E8">
        <w:rPr>
          <w:rFonts w:eastAsia="Calibri" w:cs="Arial"/>
          <w:szCs w:val="20"/>
        </w:rPr>
        <w:t xml:space="preserve">Defence personnel </w:t>
      </w:r>
      <w:r w:rsidRPr="00E548E8">
        <w:rPr>
          <w:szCs w:val="20"/>
        </w:rPr>
        <w:t xml:space="preserve">should </w:t>
      </w:r>
      <w:r w:rsidR="00BC601C">
        <w:rPr>
          <w:szCs w:val="20"/>
        </w:rPr>
        <w:t xml:space="preserve">only </w:t>
      </w:r>
      <w:r w:rsidRPr="00E548E8">
        <w:rPr>
          <w:szCs w:val="20"/>
        </w:rPr>
        <w:t xml:space="preserve">complete </w:t>
      </w:r>
      <w:r w:rsidR="008A1013" w:rsidRPr="00E548E8">
        <w:rPr>
          <w:szCs w:val="20"/>
        </w:rPr>
        <w:t xml:space="preserve">Table </w:t>
      </w:r>
      <w:r w:rsidR="00D4279E" w:rsidRPr="00E548E8">
        <w:rPr>
          <w:szCs w:val="20"/>
        </w:rPr>
        <w:t>2</w:t>
      </w:r>
      <w:r w:rsidR="00B870D6">
        <w:rPr>
          <w:szCs w:val="20"/>
        </w:rPr>
        <w:t xml:space="preserve"> if liability caps are to be included in the contract</w:t>
      </w:r>
      <w:r w:rsidR="008108A7">
        <w:rPr>
          <w:szCs w:val="20"/>
        </w:rPr>
        <w:t xml:space="preserve">, and Table 3 if </w:t>
      </w:r>
      <w:r w:rsidR="004335C7">
        <w:rPr>
          <w:szCs w:val="20"/>
        </w:rPr>
        <w:t xml:space="preserve">specific </w:t>
      </w:r>
      <w:r w:rsidR="008108A7">
        <w:rPr>
          <w:szCs w:val="20"/>
        </w:rPr>
        <w:t>insurance is required</w:t>
      </w:r>
      <w:r w:rsidR="00D4279E" w:rsidRPr="00E548E8">
        <w:rPr>
          <w:szCs w:val="20"/>
        </w:rPr>
        <w:t xml:space="preserve">.  </w:t>
      </w:r>
      <w:r w:rsidR="00E548E8">
        <w:rPr>
          <w:szCs w:val="20"/>
        </w:rPr>
        <w:t>I</w:t>
      </w:r>
      <w:r w:rsidR="00D4279E" w:rsidRPr="00E548E8">
        <w:rPr>
          <w:szCs w:val="20"/>
        </w:rPr>
        <w:t xml:space="preserve">f this document is being developed at </w:t>
      </w:r>
      <w:r w:rsidR="00D4279E" w:rsidRPr="00E548E8">
        <w:rPr>
          <w:szCs w:val="20"/>
        </w:rPr>
        <w:lastRenderedPageBreak/>
        <w:t xml:space="preserve">pre-contract drafting stages of the procurement lifecycle (i.e. for the Acquisition Strategy), then </w:t>
      </w:r>
      <w:r w:rsidR="008A1013" w:rsidRPr="00E548E8">
        <w:rPr>
          <w:szCs w:val="20"/>
        </w:rPr>
        <w:t>Table</w:t>
      </w:r>
      <w:r w:rsidR="008108A7">
        <w:rPr>
          <w:szCs w:val="20"/>
        </w:rPr>
        <w:t>s</w:t>
      </w:r>
      <w:r w:rsidR="008A1013" w:rsidRPr="00E548E8">
        <w:rPr>
          <w:szCs w:val="20"/>
        </w:rPr>
        <w:t xml:space="preserve"> </w:t>
      </w:r>
      <w:r w:rsidR="00EA7705" w:rsidRPr="00E548E8">
        <w:rPr>
          <w:szCs w:val="20"/>
        </w:rPr>
        <w:t xml:space="preserve">2 </w:t>
      </w:r>
      <w:r w:rsidR="008108A7">
        <w:rPr>
          <w:szCs w:val="20"/>
        </w:rPr>
        <w:t xml:space="preserve">and 3 </w:t>
      </w:r>
      <w:r w:rsidR="00D4279E" w:rsidRPr="00E548E8">
        <w:rPr>
          <w:szCs w:val="20"/>
        </w:rPr>
        <w:t xml:space="preserve">may be left blank until </w:t>
      </w:r>
      <w:r w:rsidR="00615378" w:rsidRPr="00E548E8">
        <w:rPr>
          <w:szCs w:val="20"/>
        </w:rPr>
        <w:t>a later stage of the procurement process</w:t>
      </w:r>
      <w:r w:rsidR="00D4279E" w:rsidRPr="00E548E8">
        <w:rPr>
          <w:szCs w:val="20"/>
        </w:rPr>
        <w:t>.</w:t>
      </w:r>
      <w:r w:rsidR="008B1E85" w:rsidRPr="00E548E8">
        <w:rPr>
          <w:rFonts w:cs="Arial"/>
          <w:szCs w:val="20"/>
        </w:rPr>
        <w:t xml:space="preserve">  </w:t>
      </w:r>
    </w:p>
    <w:p w14:paraId="3E8A9753" w14:textId="47F24837" w:rsidR="00497E94" w:rsidRDefault="00A032ED" w:rsidP="00CA1C9D">
      <w:pPr>
        <w:spacing w:before="120" w:after="0"/>
        <w:rPr>
          <w:rFonts w:cs="Arial"/>
        </w:rPr>
      </w:pPr>
      <w:r>
        <w:rPr>
          <w:rFonts w:cs="Arial"/>
        </w:rPr>
        <w:t>Each time a</w:t>
      </w:r>
      <w:r w:rsidR="0047143C">
        <w:rPr>
          <w:rFonts w:cs="Arial"/>
        </w:rPr>
        <w:t>n</w:t>
      </w:r>
      <w:r>
        <w:rPr>
          <w:rFonts w:cs="Arial"/>
        </w:rPr>
        <w:t xml:space="preserve"> </w:t>
      </w:r>
      <w:r w:rsidR="0047143C">
        <w:rPr>
          <w:rFonts w:cs="Arial"/>
        </w:rPr>
        <w:t>LRA</w:t>
      </w:r>
      <w:r>
        <w:rPr>
          <w:rFonts w:cs="Arial"/>
        </w:rPr>
        <w:t xml:space="preserve"> is </w:t>
      </w:r>
      <w:r w:rsidR="00BC601C">
        <w:rPr>
          <w:rFonts w:cs="Arial"/>
        </w:rPr>
        <w:t>updated</w:t>
      </w:r>
      <w:r w:rsidR="0047143C">
        <w:rPr>
          <w:rFonts w:cs="Arial"/>
        </w:rPr>
        <w:t>,</w:t>
      </w:r>
      <w:r>
        <w:rPr>
          <w:rFonts w:cs="Arial"/>
        </w:rPr>
        <w:t xml:space="preserve"> </w:t>
      </w:r>
      <w:r w:rsidR="00B074EF">
        <w:rPr>
          <w:rFonts w:cs="Arial"/>
        </w:rPr>
        <w:t>Tables 1</w:t>
      </w:r>
      <w:r w:rsidR="008108A7">
        <w:rPr>
          <w:rFonts w:cs="Arial"/>
        </w:rPr>
        <w:t>,</w:t>
      </w:r>
      <w:r w:rsidR="00B074EF">
        <w:rPr>
          <w:rFonts w:cs="Arial"/>
        </w:rPr>
        <w:t xml:space="preserve"> 2 </w:t>
      </w:r>
      <w:r w:rsidR="008108A7">
        <w:rPr>
          <w:rFonts w:cs="Arial"/>
        </w:rPr>
        <w:t xml:space="preserve">and 3 </w:t>
      </w:r>
      <w:r w:rsidR="00B074EF">
        <w:rPr>
          <w:rFonts w:cs="Arial"/>
        </w:rPr>
        <w:t xml:space="preserve">should be revisited and </w:t>
      </w:r>
      <w:r>
        <w:rPr>
          <w:rFonts w:cs="Arial"/>
        </w:rPr>
        <w:t xml:space="preserve">the </w:t>
      </w:r>
      <w:r w:rsidR="00D14727">
        <w:rPr>
          <w:rFonts w:cs="Arial"/>
        </w:rPr>
        <w:t>Assessment</w:t>
      </w:r>
      <w:r>
        <w:rPr>
          <w:rFonts w:cs="Arial"/>
        </w:rPr>
        <w:t xml:space="preserve"> Record Sheet updated.  </w:t>
      </w:r>
    </w:p>
    <w:p w14:paraId="5C27E3DE" w14:textId="77777777" w:rsidR="004335C7" w:rsidRDefault="004335C7" w:rsidP="00CA1C9D">
      <w:pPr>
        <w:spacing w:before="120" w:after="0"/>
        <w:rPr>
          <w:rFonts w:cs="Arial"/>
        </w:rPr>
      </w:pPr>
    </w:p>
    <w:p w14:paraId="29A2A49B" w14:textId="77777777" w:rsidR="004335C7" w:rsidRDefault="004335C7" w:rsidP="00CA1C9D">
      <w:pPr>
        <w:spacing w:before="120" w:after="0"/>
      </w:pPr>
    </w:p>
    <w:p w14:paraId="65DC2A89" w14:textId="676523BD" w:rsidR="000502D9" w:rsidRDefault="000502D9" w:rsidP="000502D9">
      <w:pPr>
        <w:spacing w:after="0"/>
        <w:sectPr w:rsidR="000502D9" w:rsidSect="00303F90">
          <w:pgSz w:w="11906" w:h="16838"/>
          <w:pgMar w:top="1440" w:right="1797" w:bottom="1134" w:left="1797" w:header="709" w:footer="283" w:gutter="0"/>
          <w:cols w:space="708"/>
          <w:titlePg/>
          <w:docGrid w:linePitch="360"/>
        </w:sectPr>
      </w:pPr>
    </w:p>
    <w:p w14:paraId="4A58AC60" w14:textId="77777777" w:rsidR="00B0366D" w:rsidRDefault="00FF1006" w:rsidP="00A06B6D">
      <w:pPr>
        <w:pStyle w:val="Table10ptHeading-ASDEFCON"/>
      </w:pPr>
      <w:r>
        <w:lastRenderedPageBreak/>
        <w:t>CONTEXT</w:t>
      </w:r>
    </w:p>
    <w:p w14:paraId="46D9BA36" w14:textId="144EA123" w:rsidR="007E47A3" w:rsidRPr="00B15B00" w:rsidRDefault="007E47A3" w:rsidP="00591C16">
      <w:pPr>
        <w:pStyle w:val="NoteToDrafters-ASDEFCON"/>
        <w:keepNext w:val="0"/>
        <w:ind w:left="-294" w:right="-292"/>
      </w:pPr>
      <w:r w:rsidRPr="007E47A3">
        <w:t xml:space="preserve">Note to drafters: </w:t>
      </w:r>
      <w:r w:rsidR="00B0366D">
        <w:t>This section should s</w:t>
      </w:r>
      <w:r w:rsidRPr="007E47A3">
        <w:t xml:space="preserve">et out a description of the procurement to which the </w:t>
      </w:r>
      <w:r w:rsidR="00550AE4">
        <w:t>LRA</w:t>
      </w:r>
      <w:r w:rsidRPr="007E47A3">
        <w:t xml:space="preserve"> relates, including the procurement objectives and the procurement environment.</w:t>
      </w:r>
      <w:r w:rsidR="00A109CB" w:rsidRPr="00A109CB">
        <w:t xml:space="preserve"> </w:t>
      </w:r>
      <w:r w:rsidR="00A109CB">
        <w:t xml:space="preserve"> </w:t>
      </w:r>
      <w:r w:rsidR="00A16EE6">
        <w:t xml:space="preserve">For further guidance on establishing the context, refer to </w:t>
      </w:r>
      <w:r w:rsidR="00DA6131">
        <w:t xml:space="preserve">Annex A and </w:t>
      </w:r>
      <w:r w:rsidR="00A16EE6">
        <w:t>Chapter 3.3 of the</w:t>
      </w:r>
      <w:hyperlink r:id="rId17" w:history="1">
        <w:r w:rsidR="00A16EE6" w:rsidRPr="00C31B7C">
          <w:rPr>
            <w:rStyle w:val="Hyperlink"/>
          </w:rPr>
          <w:t xml:space="preserve"> Project Risk Management Manual (PRMM)</w:t>
        </w:r>
      </w:hyperlink>
      <w:r w:rsidR="00A16EE6">
        <w:t>.</w:t>
      </w:r>
    </w:p>
    <w:p w14:paraId="29C99391" w14:textId="77777777" w:rsidR="007E47A3" w:rsidRDefault="00B0366D" w:rsidP="00B529F8">
      <w:pPr>
        <w:spacing w:after="0"/>
        <w:jc w:val="left"/>
        <w:rPr>
          <w:rFonts w:cs="Arial"/>
        </w:rPr>
      </w:pPr>
      <w:r>
        <w:rPr>
          <w:rFonts w:cs="Arial"/>
        </w:rPr>
        <w:t xml:space="preserve"> </w:t>
      </w:r>
      <w:r w:rsidR="007E47A3">
        <w:rPr>
          <w:rFonts w:cs="Arial"/>
        </w:rPr>
        <w:t>[</w:t>
      </w:r>
      <w:r w:rsidR="007E47A3" w:rsidRPr="00A16EE6">
        <w:rPr>
          <w:rFonts w:cs="Arial"/>
        </w:rPr>
        <w:t>…INSERT DETAILS AS REQUIRED…</w:t>
      </w:r>
      <w:r w:rsidR="007E47A3" w:rsidRPr="007E47A3">
        <w:rPr>
          <w:rFonts w:cs="Arial"/>
        </w:rPr>
        <w:t>]</w:t>
      </w:r>
    </w:p>
    <w:p w14:paraId="352EF55F" w14:textId="77777777" w:rsidR="00B0366D" w:rsidRDefault="00B0366D" w:rsidP="00B529F8">
      <w:pPr>
        <w:spacing w:after="0"/>
        <w:jc w:val="left"/>
        <w:rPr>
          <w:rFonts w:cs="Arial"/>
        </w:rPr>
      </w:pPr>
    </w:p>
    <w:p w14:paraId="6588133A" w14:textId="77777777" w:rsidR="00B0366D" w:rsidRPr="00481CE6" w:rsidRDefault="00B0366D" w:rsidP="00550AE4">
      <w:pPr>
        <w:pStyle w:val="Table10ptHeading-ASDEFCON"/>
      </w:pPr>
      <w:r>
        <w:t>Table 1 – Contract Liability Risk Log</w:t>
      </w:r>
    </w:p>
    <w:p w14:paraId="3056907B" w14:textId="5477DBB2" w:rsidR="004C6475" w:rsidRPr="00B15B00" w:rsidRDefault="004C6475" w:rsidP="00550AE4">
      <w:pPr>
        <w:pStyle w:val="NoteToDrafters-ASDEFCON"/>
        <w:keepNext w:val="0"/>
        <w:ind w:left="-294" w:right="-292"/>
      </w:pPr>
      <w:r>
        <w:t xml:space="preserve">Note to drafters: </w:t>
      </w:r>
      <w:r w:rsidR="008B1755">
        <w:t xml:space="preserve"> </w:t>
      </w:r>
      <w:r>
        <w:t xml:space="preserve">The Contract </w:t>
      </w:r>
      <w:r w:rsidR="00E26FE3">
        <w:t xml:space="preserve">Liability </w:t>
      </w:r>
      <w:r>
        <w:t xml:space="preserve">Risk Log at Table 1 should address </w:t>
      </w:r>
      <w:r w:rsidR="00A30FCC">
        <w:t xml:space="preserve">at least </w:t>
      </w:r>
      <w:r>
        <w:t xml:space="preserve">the </w:t>
      </w:r>
      <w:r w:rsidR="00550AE4">
        <w:t xml:space="preserve">nine </w:t>
      </w:r>
      <w:r>
        <w:t xml:space="preserve">standard </w:t>
      </w:r>
      <w:r w:rsidR="00E26FE3">
        <w:t xml:space="preserve">liability </w:t>
      </w:r>
      <w:r>
        <w:t xml:space="preserve">risks outlined below.  Additional project specific </w:t>
      </w:r>
      <w:r w:rsidR="00E26FE3">
        <w:t xml:space="preserve">liability </w:t>
      </w:r>
      <w:r>
        <w:t xml:space="preserve">risks can be included should they not fall within the standard </w:t>
      </w:r>
      <w:r w:rsidR="00E26FE3">
        <w:t xml:space="preserve">liability </w:t>
      </w:r>
      <w:r>
        <w:t xml:space="preserve">risks </w:t>
      </w:r>
      <w:r w:rsidR="00EE75D6">
        <w:t xml:space="preserve">and </w:t>
      </w:r>
      <w:r>
        <w:t xml:space="preserve">specific contractual </w:t>
      </w:r>
      <w:r w:rsidR="001334A6">
        <w:t>drafting</w:t>
      </w:r>
      <w:r>
        <w:t xml:space="preserve"> </w:t>
      </w:r>
      <w:r w:rsidR="00EE75D6">
        <w:t xml:space="preserve">should </w:t>
      </w:r>
      <w:r>
        <w:t xml:space="preserve">be </w:t>
      </w:r>
      <w:r w:rsidR="00EE75D6">
        <w:t xml:space="preserve">included in the contract if necessary </w:t>
      </w:r>
      <w:r>
        <w:t>to address them.  The worked examples provided below are provided as example</w:t>
      </w:r>
      <w:r w:rsidR="008B0543">
        <w:t>s</w:t>
      </w:r>
      <w:r>
        <w:t xml:space="preserve"> only.  Drafters should refer to </w:t>
      </w:r>
      <w:r w:rsidR="00550AE4">
        <w:t>Annex A</w:t>
      </w:r>
      <w:r w:rsidR="00FF1006">
        <w:t xml:space="preserve"> </w:t>
      </w:r>
      <w:r w:rsidR="00780A2D">
        <w:t>for</w:t>
      </w:r>
      <w:r>
        <w:t xml:space="preserve"> guidance on Risk </w:t>
      </w:r>
      <w:r w:rsidR="00550AE4">
        <w:t>Categories</w:t>
      </w:r>
      <w:r w:rsidR="00046DB7">
        <w:t xml:space="preserve"> and the</w:t>
      </w:r>
      <w:r>
        <w:t xml:space="preserve"> Likelihood and Consequence </w:t>
      </w:r>
      <w:r w:rsidR="00046DB7">
        <w:t>r</w:t>
      </w:r>
      <w:r>
        <w:t xml:space="preserve">atings, and </w:t>
      </w:r>
      <w:r w:rsidR="00046DB7">
        <w:t xml:space="preserve">Residual </w:t>
      </w:r>
      <w:r>
        <w:t xml:space="preserve">Risk Level evaluations in accordance with the Standard Risk Matrix. </w:t>
      </w:r>
    </w:p>
    <w:tbl>
      <w:tblPr>
        <w:tblW w:w="14898" w:type="dxa"/>
        <w:tblInd w:w="-294" w:type="dxa"/>
        <w:tblBorders>
          <w:top w:val="nil"/>
          <w:left w:val="nil"/>
          <w:bottom w:val="nil"/>
          <w:right w:val="nil"/>
        </w:tblBorders>
        <w:tblLayout w:type="fixed"/>
        <w:tblLook w:val="0000" w:firstRow="0" w:lastRow="0" w:firstColumn="0" w:lastColumn="0" w:noHBand="0" w:noVBand="0"/>
      </w:tblPr>
      <w:tblGrid>
        <w:gridCol w:w="1809"/>
        <w:gridCol w:w="1560"/>
        <w:gridCol w:w="1439"/>
        <w:gridCol w:w="2671"/>
        <w:gridCol w:w="3578"/>
        <w:gridCol w:w="1223"/>
        <w:gridCol w:w="1540"/>
        <w:gridCol w:w="1078"/>
      </w:tblGrid>
      <w:tr w:rsidR="00593BBB" w:rsidRPr="00634E17" w14:paraId="7D9FCDD1" w14:textId="77777777" w:rsidTr="00871A65">
        <w:trPr>
          <w:tblHeader/>
        </w:trPr>
        <w:tc>
          <w:tcPr>
            <w:tcW w:w="1809" w:type="dxa"/>
            <w:tcBorders>
              <w:top w:val="single" w:sz="8" w:space="0" w:color="000000"/>
              <w:left w:val="single" w:sz="8" w:space="0" w:color="000000"/>
              <w:bottom w:val="single" w:sz="8" w:space="0" w:color="000000"/>
              <w:right w:val="single" w:sz="8" w:space="0" w:color="000000"/>
            </w:tcBorders>
            <w:shd w:val="clear" w:color="auto" w:fill="D8D8D8"/>
          </w:tcPr>
          <w:p w14:paraId="03F1948E" w14:textId="77777777" w:rsidR="00593BBB" w:rsidRPr="00634E17" w:rsidRDefault="00593BBB" w:rsidP="00FF1006">
            <w:pPr>
              <w:pStyle w:val="Default"/>
              <w:spacing w:before="110" w:after="110"/>
              <w:rPr>
                <w:rFonts w:ascii="Arial" w:hAnsi="Arial" w:cs="Arial"/>
                <w:sz w:val="20"/>
                <w:szCs w:val="20"/>
              </w:rPr>
            </w:pPr>
            <w:r w:rsidRPr="00634E17">
              <w:rPr>
                <w:rFonts w:ascii="Arial" w:hAnsi="Arial" w:cs="Arial"/>
                <w:b/>
                <w:bCs/>
                <w:sz w:val="20"/>
                <w:szCs w:val="20"/>
              </w:rPr>
              <w:t xml:space="preserve">Risk </w:t>
            </w:r>
          </w:p>
        </w:tc>
        <w:tc>
          <w:tcPr>
            <w:tcW w:w="1560" w:type="dxa"/>
            <w:tcBorders>
              <w:top w:val="single" w:sz="8" w:space="0" w:color="000000"/>
              <w:left w:val="single" w:sz="8" w:space="0" w:color="000000"/>
              <w:bottom w:val="single" w:sz="8" w:space="0" w:color="000000"/>
              <w:right w:val="single" w:sz="8" w:space="0" w:color="000000"/>
            </w:tcBorders>
            <w:shd w:val="clear" w:color="auto" w:fill="D8D8D8"/>
          </w:tcPr>
          <w:p w14:paraId="65DCC534" w14:textId="77777777" w:rsidR="00593BBB" w:rsidRPr="00634E17" w:rsidRDefault="00593BBB" w:rsidP="00481CE6">
            <w:pPr>
              <w:pStyle w:val="Default"/>
              <w:spacing w:before="110" w:after="110"/>
              <w:rPr>
                <w:rFonts w:ascii="Arial" w:hAnsi="Arial" w:cs="Arial"/>
                <w:sz w:val="20"/>
                <w:szCs w:val="20"/>
              </w:rPr>
            </w:pPr>
            <w:r w:rsidRPr="00634E17">
              <w:rPr>
                <w:rFonts w:ascii="Arial" w:hAnsi="Arial" w:cs="Arial"/>
                <w:b/>
                <w:bCs/>
                <w:sz w:val="20"/>
                <w:szCs w:val="20"/>
              </w:rPr>
              <w:t xml:space="preserve">Source </w:t>
            </w:r>
          </w:p>
        </w:tc>
        <w:tc>
          <w:tcPr>
            <w:tcW w:w="1439" w:type="dxa"/>
            <w:tcBorders>
              <w:top w:val="single" w:sz="8" w:space="0" w:color="000000"/>
              <w:left w:val="single" w:sz="8" w:space="0" w:color="000000"/>
              <w:bottom w:val="single" w:sz="8" w:space="0" w:color="000000"/>
              <w:right w:val="single" w:sz="8" w:space="0" w:color="000000"/>
            </w:tcBorders>
            <w:shd w:val="clear" w:color="auto" w:fill="D8D8D8"/>
          </w:tcPr>
          <w:p w14:paraId="61864FE1" w14:textId="77777777" w:rsidR="00593BBB" w:rsidRPr="00634E17" w:rsidRDefault="00593BBB" w:rsidP="00481CE6">
            <w:pPr>
              <w:pStyle w:val="Default"/>
              <w:spacing w:before="110" w:after="110"/>
              <w:rPr>
                <w:rFonts w:ascii="Arial" w:hAnsi="Arial" w:cs="Arial"/>
                <w:sz w:val="20"/>
                <w:szCs w:val="20"/>
              </w:rPr>
            </w:pPr>
            <w:r w:rsidRPr="00634E17">
              <w:rPr>
                <w:rFonts w:ascii="Arial" w:hAnsi="Arial" w:cs="Arial"/>
                <w:b/>
                <w:bCs/>
                <w:sz w:val="20"/>
                <w:szCs w:val="20"/>
              </w:rPr>
              <w:t xml:space="preserve">Category </w:t>
            </w:r>
          </w:p>
        </w:tc>
        <w:tc>
          <w:tcPr>
            <w:tcW w:w="2671" w:type="dxa"/>
            <w:tcBorders>
              <w:top w:val="single" w:sz="8" w:space="0" w:color="000000"/>
              <w:left w:val="single" w:sz="8" w:space="0" w:color="000000"/>
              <w:bottom w:val="single" w:sz="8" w:space="0" w:color="000000"/>
              <w:right w:val="single" w:sz="8" w:space="0" w:color="000000"/>
            </w:tcBorders>
            <w:shd w:val="clear" w:color="auto" w:fill="D8D8D8"/>
          </w:tcPr>
          <w:p w14:paraId="78B34B78" w14:textId="77777777" w:rsidR="00593BBB" w:rsidRPr="00634E17" w:rsidRDefault="00593BBB" w:rsidP="00481CE6">
            <w:pPr>
              <w:pStyle w:val="Default"/>
              <w:spacing w:before="110" w:after="110"/>
              <w:rPr>
                <w:rFonts w:ascii="Arial" w:hAnsi="Arial" w:cs="Arial"/>
                <w:sz w:val="20"/>
                <w:szCs w:val="20"/>
              </w:rPr>
            </w:pPr>
            <w:r w:rsidRPr="00634E17">
              <w:rPr>
                <w:rFonts w:ascii="Arial" w:hAnsi="Arial" w:cs="Arial"/>
                <w:b/>
                <w:bCs/>
                <w:sz w:val="20"/>
                <w:szCs w:val="20"/>
              </w:rPr>
              <w:t xml:space="preserve">Impact </w:t>
            </w:r>
          </w:p>
        </w:tc>
        <w:tc>
          <w:tcPr>
            <w:tcW w:w="3578" w:type="dxa"/>
            <w:tcBorders>
              <w:top w:val="single" w:sz="8" w:space="0" w:color="000000"/>
              <w:left w:val="single" w:sz="8" w:space="0" w:color="000000"/>
              <w:bottom w:val="single" w:sz="8" w:space="0" w:color="000000"/>
              <w:right w:val="single" w:sz="8" w:space="0" w:color="000000"/>
            </w:tcBorders>
            <w:shd w:val="clear" w:color="auto" w:fill="D8D8D8"/>
          </w:tcPr>
          <w:p w14:paraId="1163278B" w14:textId="77777777" w:rsidR="00593BBB" w:rsidRPr="00007EAC" w:rsidRDefault="00593BBB" w:rsidP="00481CE6">
            <w:pPr>
              <w:pStyle w:val="Default"/>
              <w:spacing w:before="110" w:after="110"/>
              <w:rPr>
                <w:rFonts w:ascii="Arial" w:hAnsi="Arial" w:cs="Arial"/>
                <w:b/>
                <w:bCs/>
                <w:sz w:val="20"/>
                <w:szCs w:val="20"/>
              </w:rPr>
            </w:pPr>
            <w:r w:rsidRPr="00634E17">
              <w:rPr>
                <w:rFonts w:ascii="Arial" w:hAnsi="Arial" w:cs="Arial"/>
                <w:b/>
                <w:bCs/>
                <w:sz w:val="20"/>
                <w:szCs w:val="20"/>
              </w:rPr>
              <w:t xml:space="preserve">Controls </w:t>
            </w:r>
            <w:r>
              <w:rPr>
                <w:rFonts w:ascii="Arial" w:hAnsi="Arial" w:cs="Arial"/>
                <w:b/>
                <w:bCs/>
                <w:sz w:val="20"/>
                <w:szCs w:val="20"/>
              </w:rPr>
              <w:t>and/or Treatment</w:t>
            </w:r>
          </w:p>
        </w:tc>
        <w:tc>
          <w:tcPr>
            <w:tcW w:w="1223" w:type="dxa"/>
            <w:tcBorders>
              <w:top w:val="single" w:sz="8" w:space="0" w:color="000000"/>
              <w:left w:val="single" w:sz="8" w:space="0" w:color="000000"/>
              <w:bottom w:val="single" w:sz="8" w:space="0" w:color="000000"/>
              <w:right w:val="single" w:sz="8" w:space="0" w:color="000000"/>
            </w:tcBorders>
            <w:shd w:val="clear" w:color="auto" w:fill="D8D8D8"/>
          </w:tcPr>
          <w:p w14:paraId="23F0B72B" w14:textId="77777777" w:rsidR="00593BBB" w:rsidRPr="00634E17" w:rsidRDefault="00593BBB" w:rsidP="00481CE6">
            <w:pPr>
              <w:pStyle w:val="Default"/>
              <w:spacing w:before="110" w:after="110"/>
              <w:rPr>
                <w:rFonts w:ascii="Arial" w:hAnsi="Arial" w:cs="Arial"/>
                <w:sz w:val="20"/>
                <w:szCs w:val="20"/>
              </w:rPr>
            </w:pPr>
            <w:r w:rsidRPr="00634E17">
              <w:rPr>
                <w:rFonts w:ascii="Arial" w:hAnsi="Arial" w:cs="Arial"/>
                <w:b/>
                <w:bCs/>
                <w:sz w:val="20"/>
                <w:szCs w:val="20"/>
              </w:rPr>
              <w:t xml:space="preserve">Likelihood </w:t>
            </w:r>
          </w:p>
        </w:tc>
        <w:tc>
          <w:tcPr>
            <w:tcW w:w="1540" w:type="dxa"/>
            <w:tcBorders>
              <w:top w:val="single" w:sz="8" w:space="0" w:color="000000"/>
              <w:left w:val="single" w:sz="8" w:space="0" w:color="000000"/>
              <w:bottom w:val="single" w:sz="8" w:space="0" w:color="000000"/>
              <w:right w:val="single" w:sz="8" w:space="0" w:color="000000"/>
            </w:tcBorders>
            <w:shd w:val="clear" w:color="auto" w:fill="D8D8D8"/>
          </w:tcPr>
          <w:p w14:paraId="64AFC4E2" w14:textId="77777777" w:rsidR="00593BBB" w:rsidRPr="00634E17" w:rsidRDefault="00593BBB" w:rsidP="00481CE6">
            <w:pPr>
              <w:pStyle w:val="Default"/>
              <w:spacing w:before="110" w:after="110"/>
              <w:rPr>
                <w:rFonts w:ascii="Arial" w:hAnsi="Arial" w:cs="Arial"/>
                <w:sz w:val="20"/>
                <w:szCs w:val="20"/>
              </w:rPr>
            </w:pPr>
            <w:r w:rsidRPr="00634E17">
              <w:rPr>
                <w:rFonts w:ascii="Arial" w:hAnsi="Arial" w:cs="Arial"/>
                <w:b/>
                <w:bCs/>
                <w:sz w:val="20"/>
                <w:szCs w:val="20"/>
              </w:rPr>
              <w:t xml:space="preserve">Consequence </w:t>
            </w:r>
          </w:p>
        </w:tc>
        <w:tc>
          <w:tcPr>
            <w:tcW w:w="1078" w:type="dxa"/>
            <w:tcBorders>
              <w:top w:val="single" w:sz="8" w:space="0" w:color="000000"/>
              <w:left w:val="single" w:sz="8" w:space="0" w:color="000000"/>
              <w:bottom w:val="single" w:sz="8" w:space="0" w:color="000000"/>
              <w:right w:val="single" w:sz="8" w:space="0" w:color="000000"/>
            </w:tcBorders>
            <w:shd w:val="clear" w:color="auto" w:fill="D8D8D8"/>
          </w:tcPr>
          <w:p w14:paraId="46211141" w14:textId="4EDA7DA6" w:rsidR="00593BBB" w:rsidRPr="00634E17" w:rsidRDefault="00892DB9" w:rsidP="00872002">
            <w:pPr>
              <w:pStyle w:val="Default"/>
              <w:spacing w:before="110" w:after="110"/>
              <w:rPr>
                <w:rFonts w:ascii="Arial" w:hAnsi="Arial" w:cs="Arial"/>
                <w:sz w:val="20"/>
                <w:szCs w:val="20"/>
              </w:rPr>
            </w:pPr>
            <w:r>
              <w:rPr>
                <w:rFonts w:ascii="Arial" w:hAnsi="Arial" w:cs="Arial"/>
                <w:b/>
                <w:bCs/>
                <w:sz w:val="20"/>
                <w:szCs w:val="20"/>
              </w:rPr>
              <w:t>Residual</w:t>
            </w:r>
            <w:r w:rsidR="009A4FEC">
              <w:rPr>
                <w:rFonts w:ascii="Arial" w:hAnsi="Arial" w:cs="Arial"/>
                <w:b/>
                <w:bCs/>
                <w:sz w:val="20"/>
                <w:szCs w:val="20"/>
              </w:rPr>
              <w:t xml:space="preserve"> </w:t>
            </w:r>
            <w:r w:rsidR="00593BBB" w:rsidRPr="00634E17">
              <w:rPr>
                <w:rFonts w:ascii="Arial" w:hAnsi="Arial" w:cs="Arial"/>
                <w:b/>
                <w:bCs/>
                <w:sz w:val="20"/>
                <w:szCs w:val="20"/>
              </w:rPr>
              <w:t xml:space="preserve">Risk Level </w:t>
            </w:r>
          </w:p>
        </w:tc>
      </w:tr>
      <w:tr w:rsidR="00593BBB" w:rsidRPr="00634E17" w14:paraId="5016D1A7" w14:textId="77777777" w:rsidTr="00871A65">
        <w:tc>
          <w:tcPr>
            <w:tcW w:w="1809" w:type="dxa"/>
            <w:tcBorders>
              <w:top w:val="single" w:sz="8" w:space="0" w:color="000000"/>
              <w:left w:val="single" w:sz="8" w:space="0" w:color="000000"/>
              <w:bottom w:val="single" w:sz="8" w:space="0" w:color="000000"/>
              <w:right w:val="single" w:sz="8" w:space="0" w:color="000000"/>
            </w:tcBorders>
          </w:tcPr>
          <w:p w14:paraId="76A7B7A5" w14:textId="77777777" w:rsidR="00593BBB" w:rsidRDefault="00593BBB" w:rsidP="00481CE6">
            <w:pPr>
              <w:pStyle w:val="Default"/>
              <w:numPr>
                <w:ilvl w:val="0"/>
                <w:numId w:val="1"/>
              </w:numPr>
              <w:tabs>
                <w:tab w:val="clear" w:pos="720"/>
                <w:tab w:val="left" w:pos="284"/>
              </w:tabs>
              <w:spacing w:before="110" w:after="110"/>
              <w:ind w:left="0" w:firstLine="0"/>
              <w:rPr>
                <w:rFonts w:ascii="Arial" w:hAnsi="Arial" w:cs="Arial"/>
                <w:sz w:val="20"/>
                <w:szCs w:val="20"/>
              </w:rPr>
            </w:pPr>
            <w:r w:rsidRPr="00634E17">
              <w:rPr>
                <w:rFonts w:ascii="Arial" w:hAnsi="Arial" w:cs="Arial"/>
                <w:sz w:val="20"/>
                <w:szCs w:val="20"/>
              </w:rPr>
              <w:t>The</w:t>
            </w:r>
            <w:r w:rsidR="00F821D3">
              <w:rPr>
                <w:rFonts w:ascii="Arial" w:hAnsi="Arial" w:cs="Arial"/>
                <w:sz w:val="20"/>
                <w:szCs w:val="20"/>
              </w:rPr>
              <w:t xml:space="preserve"> </w:t>
            </w:r>
            <w:r w:rsidR="00780A2D">
              <w:rPr>
                <w:rFonts w:ascii="Arial" w:hAnsi="Arial" w:cs="Arial"/>
                <w:sz w:val="20"/>
                <w:szCs w:val="20"/>
              </w:rPr>
              <w:t>contractor</w:t>
            </w:r>
            <w:r w:rsidRPr="00634E17">
              <w:rPr>
                <w:rFonts w:ascii="Arial" w:hAnsi="Arial" w:cs="Arial"/>
                <w:sz w:val="20"/>
                <w:szCs w:val="20"/>
              </w:rPr>
              <w:t xml:space="preserve"> fails to complete the contract </w:t>
            </w:r>
          </w:p>
          <w:p w14:paraId="33407FBC" w14:textId="77777777" w:rsidR="0019243F" w:rsidRDefault="00593BBB">
            <w:pPr>
              <w:pStyle w:val="Default"/>
              <w:tabs>
                <w:tab w:val="left" w:pos="284"/>
              </w:tabs>
              <w:spacing w:before="110" w:after="110"/>
              <w:rPr>
                <w:rFonts w:ascii="Arial" w:hAnsi="Arial" w:cs="Arial"/>
                <w:sz w:val="20"/>
                <w:szCs w:val="20"/>
              </w:rPr>
            </w:pPr>
            <w:r>
              <w:rPr>
                <w:rFonts w:ascii="Arial" w:hAnsi="Arial" w:cs="Arial"/>
                <w:sz w:val="20"/>
                <w:szCs w:val="20"/>
              </w:rPr>
              <w:t>(</w:t>
            </w:r>
            <w:r w:rsidRPr="00634E17">
              <w:rPr>
                <w:rFonts w:ascii="Arial" w:hAnsi="Arial" w:cs="Arial"/>
                <w:sz w:val="20"/>
                <w:szCs w:val="20"/>
              </w:rPr>
              <w:t>e.g. the</w:t>
            </w:r>
            <w:r w:rsidR="00F821D3">
              <w:rPr>
                <w:rFonts w:ascii="Arial" w:hAnsi="Arial" w:cs="Arial"/>
                <w:sz w:val="20"/>
                <w:szCs w:val="20"/>
              </w:rPr>
              <w:t xml:space="preserve"> </w:t>
            </w:r>
            <w:r w:rsidR="00780A2D">
              <w:rPr>
                <w:rFonts w:ascii="Arial" w:hAnsi="Arial" w:cs="Arial"/>
                <w:sz w:val="20"/>
                <w:szCs w:val="20"/>
              </w:rPr>
              <w:t>contractor</w:t>
            </w:r>
            <w:r>
              <w:rPr>
                <w:rFonts w:ascii="Arial" w:hAnsi="Arial" w:cs="Arial"/>
                <w:sz w:val="20"/>
                <w:szCs w:val="20"/>
              </w:rPr>
              <w:t xml:space="preserve"> goes into liquidation)</w:t>
            </w:r>
            <w:r w:rsidRPr="00634E17">
              <w:rPr>
                <w:rFonts w:ascii="Arial" w:hAnsi="Arial" w:cs="Arial"/>
                <w:sz w:val="20"/>
                <w:szCs w:val="20"/>
              </w:rPr>
              <w:t xml:space="preserve"> </w:t>
            </w:r>
          </w:p>
          <w:p w14:paraId="1B3D245D" w14:textId="5916AC2A" w:rsidR="00CC2057" w:rsidRPr="00CA1C9D" w:rsidRDefault="00EA70EB" w:rsidP="00CD1158">
            <w:pPr>
              <w:pStyle w:val="NoteToDrafters-ASDEFCON"/>
            </w:pPr>
            <w:r>
              <w:t xml:space="preserve">Note to drafters:  </w:t>
            </w:r>
            <w:r w:rsidR="00CC2057">
              <w:t xml:space="preserve">Related liability </w:t>
            </w:r>
            <w:r w:rsidR="00CD1158">
              <w:t>c</w:t>
            </w:r>
            <w:r w:rsidR="00CC2057">
              <w:t xml:space="preserve">ap – </w:t>
            </w:r>
            <w:r w:rsidR="00CD1158" w:rsidRPr="00CD1158">
              <w:t xml:space="preserve">losses suffered by the Commonwealth other than those referred to in the </w:t>
            </w:r>
            <w:r w:rsidR="00CD1158">
              <w:t xml:space="preserve">other </w:t>
            </w:r>
            <w:r w:rsidR="00CD1158" w:rsidRPr="00CD1158">
              <w:t>liability caps</w:t>
            </w:r>
          </w:p>
        </w:tc>
        <w:tc>
          <w:tcPr>
            <w:tcW w:w="1560" w:type="dxa"/>
            <w:tcBorders>
              <w:top w:val="single" w:sz="8" w:space="0" w:color="000000"/>
              <w:left w:val="single" w:sz="8" w:space="0" w:color="000000"/>
              <w:bottom w:val="single" w:sz="8" w:space="0" w:color="000000"/>
              <w:right w:val="single" w:sz="8" w:space="0" w:color="000000"/>
            </w:tcBorders>
          </w:tcPr>
          <w:p w14:paraId="13A8BB29" w14:textId="77777777" w:rsidR="00717E6E" w:rsidRDefault="00717E6E" w:rsidP="00481CE6">
            <w:pPr>
              <w:pStyle w:val="Default"/>
              <w:numPr>
                <w:ilvl w:val="0"/>
                <w:numId w:val="27"/>
              </w:numPr>
              <w:spacing w:before="110" w:after="110"/>
              <w:ind w:left="176" w:hanging="142"/>
              <w:rPr>
                <w:rFonts w:ascii="Arial" w:hAnsi="Arial" w:cs="Arial"/>
                <w:sz w:val="20"/>
                <w:szCs w:val="20"/>
              </w:rPr>
            </w:pPr>
            <w:r w:rsidRPr="00634E17">
              <w:rPr>
                <w:rFonts w:ascii="Arial" w:hAnsi="Arial" w:cs="Arial"/>
                <w:sz w:val="20"/>
                <w:szCs w:val="20"/>
              </w:rPr>
              <w:t xml:space="preserve">Lack of expertise in the </w:t>
            </w:r>
            <w:r w:rsidR="00780A2D">
              <w:rPr>
                <w:rFonts w:ascii="Arial" w:hAnsi="Arial" w:cs="Arial"/>
                <w:sz w:val="20"/>
                <w:szCs w:val="20"/>
              </w:rPr>
              <w:t>company</w:t>
            </w:r>
            <w:r w:rsidRPr="00634E17">
              <w:rPr>
                <w:rFonts w:ascii="Arial" w:hAnsi="Arial" w:cs="Arial"/>
                <w:sz w:val="20"/>
                <w:szCs w:val="20"/>
              </w:rPr>
              <w:t xml:space="preserve"> </w:t>
            </w:r>
          </w:p>
          <w:p w14:paraId="4B20D049" w14:textId="77777777" w:rsidR="00717E6E" w:rsidRDefault="00717E6E" w:rsidP="00481CE6">
            <w:pPr>
              <w:pStyle w:val="Default"/>
              <w:numPr>
                <w:ilvl w:val="0"/>
                <w:numId w:val="27"/>
              </w:numPr>
              <w:spacing w:before="110" w:after="110"/>
              <w:ind w:left="176" w:hanging="142"/>
              <w:rPr>
                <w:rFonts w:ascii="Arial" w:hAnsi="Arial" w:cs="Arial"/>
                <w:sz w:val="20"/>
                <w:szCs w:val="20"/>
              </w:rPr>
            </w:pPr>
            <w:r>
              <w:rPr>
                <w:rFonts w:ascii="Arial" w:hAnsi="Arial" w:cs="Arial"/>
                <w:sz w:val="20"/>
                <w:szCs w:val="20"/>
              </w:rPr>
              <w:t>U</w:t>
            </w:r>
            <w:r w:rsidRPr="00634E17">
              <w:rPr>
                <w:rFonts w:ascii="Arial" w:hAnsi="Arial" w:cs="Arial"/>
                <w:sz w:val="20"/>
                <w:szCs w:val="20"/>
              </w:rPr>
              <w:t>nproven solution</w:t>
            </w:r>
          </w:p>
          <w:p w14:paraId="44E369CB" w14:textId="77777777" w:rsidR="00593BBB" w:rsidRPr="00634E17" w:rsidRDefault="00593BBB" w:rsidP="00481CE6">
            <w:pPr>
              <w:pStyle w:val="Default"/>
              <w:numPr>
                <w:ilvl w:val="0"/>
                <w:numId w:val="27"/>
              </w:numPr>
              <w:spacing w:before="110" w:after="110"/>
              <w:ind w:left="176" w:hanging="142"/>
              <w:rPr>
                <w:rFonts w:ascii="Arial" w:hAnsi="Arial" w:cs="Arial"/>
                <w:sz w:val="20"/>
                <w:szCs w:val="20"/>
              </w:rPr>
            </w:pPr>
            <w:r w:rsidRPr="00634E17">
              <w:rPr>
                <w:rFonts w:ascii="Arial" w:hAnsi="Arial" w:cs="Arial"/>
                <w:sz w:val="20"/>
                <w:szCs w:val="20"/>
              </w:rPr>
              <w:t xml:space="preserve">Financial viability of the company </w:t>
            </w:r>
          </w:p>
        </w:tc>
        <w:tc>
          <w:tcPr>
            <w:tcW w:w="1439" w:type="dxa"/>
            <w:tcBorders>
              <w:top w:val="single" w:sz="8" w:space="0" w:color="000000"/>
              <w:left w:val="single" w:sz="8" w:space="0" w:color="000000"/>
              <w:bottom w:val="single" w:sz="8" w:space="0" w:color="000000"/>
              <w:right w:val="single" w:sz="8" w:space="0" w:color="000000"/>
            </w:tcBorders>
          </w:tcPr>
          <w:p w14:paraId="635E7273" w14:textId="77777777" w:rsidR="00593BBB" w:rsidRDefault="00593BBB" w:rsidP="00481CE6">
            <w:pPr>
              <w:pStyle w:val="Default"/>
              <w:spacing w:before="110" w:after="110"/>
              <w:rPr>
                <w:rFonts w:ascii="Arial" w:hAnsi="Arial" w:cs="Arial"/>
                <w:sz w:val="20"/>
                <w:szCs w:val="20"/>
              </w:rPr>
            </w:pPr>
            <w:r w:rsidRPr="00634E17">
              <w:rPr>
                <w:rFonts w:ascii="Arial" w:hAnsi="Arial" w:cs="Arial"/>
                <w:sz w:val="20"/>
                <w:szCs w:val="20"/>
              </w:rPr>
              <w:t xml:space="preserve">Schedule </w:t>
            </w:r>
          </w:p>
          <w:p w14:paraId="3959A096" w14:textId="77777777" w:rsidR="00E70CD9" w:rsidRDefault="00E70CD9" w:rsidP="00481CE6">
            <w:pPr>
              <w:pStyle w:val="Default"/>
              <w:spacing w:before="110" w:after="110"/>
              <w:rPr>
                <w:rFonts w:ascii="Arial" w:hAnsi="Arial" w:cs="Arial"/>
                <w:sz w:val="20"/>
                <w:szCs w:val="20"/>
              </w:rPr>
            </w:pPr>
            <w:r>
              <w:rPr>
                <w:rFonts w:ascii="Arial" w:hAnsi="Arial" w:cs="Arial"/>
                <w:sz w:val="20"/>
                <w:szCs w:val="20"/>
              </w:rPr>
              <w:t>Cost</w:t>
            </w:r>
          </w:p>
          <w:p w14:paraId="3E72692B" w14:textId="77777777" w:rsidR="00C9620C" w:rsidRPr="00634E17" w:rsidRDefault="00C9620C" w:rsidP="00481CE6">
            <w:pPr>
              <w:pStyle w:val="Default"/>
              <w:spacing w:before="110" w:after="110"/>
              <w:rPr>
                <w:rFonts w:ascii="Arial" w:hAnsi="Arial" w:cs="Arial"/>
                <w:sz w:val="20"/>
                <w:szCs w:val="20"/>
              </w:rPr>
            </w:pPr>
            <w:r>
              <w:rPr>
                <w:rFonts w:ascii="Arial" w:hAnsi="Arial" w:cs="Arial"/>
                <w:sz w:val="20"/>
                <w:szCs w:val="20"/>
              </w:rPr>
              <w:t>Performance</w:t>
            </w:r>
          </w:p>
        </w:tc>
        <w:tc>
          <w:tcPr>
            <w:tcW w:w="2671" w:type="dxa"/>
            <w:tcBorders>
              <w:top w:val="single" w:sz="8" w:space="0" w:color="000000"/>
              <w:left w:val="single" w:sz="8" w:space="0" w:color="000000"/>
              <w:bottom w:val="single" w:sz="8" w:space="0" w:color="000000"/>
              <w:right w:val="single" w:sz="8" w:space="0" w:color="000000"/>
            </w:tcBorders>
          </w:tcPr>
          <w:p w14:paraId="463965D2" w14:textId="77777777" w:rsidR="0035089A" w:rsidRDefault="0035089A" w:rsidP="00481CE6">
            <w:pPr>
              <w:pStyle w:val="Default"/>
              <w:numPr>
                <w:ilvl w:val="0"/>
                <w:numId w:val="27"/>
              </w:numPr>
              <w:spacing w:before="110" w:after="110"/>
              <w:ind w:left="176" w:hanging="142"/>
              <w:rPr>
                <w:rFonts w:ascii="Arial" w:hAnsi="Arial" w:cs="Arial"/>
                <w:sz w:val="20"/>
                <w:szCs w:val="20"/>
              </w:rPr>
            </w:pPr>
            <w:r>
              <w:rPr>
                <w:rFonts w:ascii="Arial" w:hAnsi="Arial" w:cs="Arial"/>
                <w:sz w:val="20"/>
                <w:szCs w:val="20"/>
              </w:rPr>
              <w:t>Re-tendering costs</w:t>
            </w:r>
            <w:r w:rsidR="00593BBB" w:rsidRPr="00634E17">
              <w:rPr>
                <w:rFonts w:ascii="Arial" w:hAnsi="Arial" w:cs="Arial"/>
                <w:sz w:val="20"/>
                <w:szCs w:val="20"/>
              </w:rPr>
              <w:t xml:space="preserve"> of finding alternative supplier to complete </w:t>
            </w:r>
            <w:r>
              <w:rPr>
                <w:rFonts w:ascii="Arial" w:hAnsi="Arial" w:cs="Arial"/>
                <w:sz w:val="20"/>
                <w:szCs w:val="20"/>
              </w:rPr>
              <w:t>estimated at $</w:t>
            </w:r>
            <w:r w:rsidR="000502D9">
              <w:rPr>
                <w:rFonts w:ascii="Arial" w:hAnsi="Arial" w:cs="Arial"/>
                <w:sz w:val="20"/>
                <w:szCs w:val="20"/>
              </w:rPr>
              <w:t>6</w:t>
            </w:r>
            <w:r w:rsidR="0096463D">
              <w:rPr>
                <w:rFonts w:ascii="Arial" w:hAnsi="Arial" w:cs="Arial"/>
                <w:sz w:val="20"/>
                <w:szCs w:val="20"/>
              </w:rPr>
              <w:t>m</w:t>
            </w:r>
            <w:r>
              <w:rPr>
                <w:rFonts w:ascii="Arial" w:hAnsi="Arial" w:cs="Arial"/>
                <w:sz w:val="20"/>
                <w:szCs w:val="20"/>
              </w:rPr>
              <w:t xml:space="preserve"> (inc project office costs).</w:t>
            </w:r>
          </w:p>
          <w:p w14:paraId="230402E8" w14:textId="77777777" w:rsidR="00E70CD9" w:rsidRPr="00634E17" w:rsidRDefault="0035089A" w:rsidP="00481CE6">
            <w:pPr>
              <w:pStyle w:val="Default"/>
              <w:numPr>
                <w:ilvl w:val="0"/>
                <w:numId w:val="27"/>
              </w:numPr>
              <w:spacing w:before="110" w:after="110"/>
              <w:ind w:left="176" w:hanging="142"/>
              <w:rPr>
                <w:rFonts w:ascii="Arial" w:hAnsi="Arial" w:cs="Arial"/>
                <w:sz w:val="20"/>
                <w:szCs w:val="20"/>
              </w:rPr>
            </w:pPr>
            <w:r>
              <w:rPr>
                <w:rFonts w:ascii="Arial" w:hAnsi="Arial" w:cs="Arial"/>
                <w:sz w:val="20"/>
                <w:szCs w:val="20"/>
              </w:rPr>
              <w:t>Costs of</w:t>
            </w:r>
            <w:r w:rsidR="00593BBB" w:rsidRPr="00634E17">
              <w:rPr>
                <w:rFonts w:ascii="Arial" w:hAnsi="Arial" w:cs="Arial"/>
                <w:sz w:val="20"/>
                <w:szCs w:val="20"/>
              </w:rPr>
              <w:t xml:space="preserve"> keeping existing equipment operating for longer</w:t>
            </w:r>
            <w:r>
              <w:rPr>
                <w:rFonts w:ascii="Arial" w:hAnsi="Arial" w:cs="Arial"/>
                <w:sz w:val="20"/>
                <w:szCs w:val="20"/>
              </w:rPr>
              <w:t xml:space="preserve"> estimated at $</w:t>
            </w:r>
            <w:r w:rsidR="00397752">
              <w:rPr>
                <w:rFonts w:ascii="Arial" w:hAnsi="Arial" w:cs="Arial"/>
                <w:sz w:val="20"/>
                <w:szCs w:val="20"/>
              </w:rPr>
              <w:t>2</w:t>
            </w:r>
            <w:r w:rsidR="000502D9">
              <w:rPr>
                <w:rFonts w:ascii="Arial" w:hAnsi="Arial" w:cs="Arial"/>
                <w:sz w:val="20"/>
                <w:szCs w:val="20"/>
              </w:rPr>
              <w:t>4</w:t>
            </w:r>
            <w:r w:rsidR="00397752">
              <w:rPr>
                <w:rFonts w:ascii="Arial" w:hAnsi="Arial" w:cs="Arial"/>
                <w:sz w:val="20"/>
                <w:szCs w:val="20"/>
              </w:rPr>
              <w:t>m</w:t>
            </w:r>
            <w:r>
              <w:rPr>
                <w:rFonts w:ascii="Arial" w:hAnsi="Arial" w:cs="Arial"/>
                <w:sz w:val="20"/>
                <w:szCs w:val="20"/>
              </w:rPr>
              <w:t xml:space="preserve"> </w:t>
            </w:r>
            <w:r w:rsidR="00397752">
              <w:rPr>
                <w:rFonts w:ascii="Arial" w:hAnsi="Arial" w:cs="Arial"/>
                <w:sz w:val="20"/>
                <w:szCs w:val="20"/>
              </w:rPr>
              <w:t>for 2 years</w:t>
            </w:r>
            <w:r w:rsidR="00593BBB" w:rsidRPr="00634E17">
              <w:rPr>
                <w:rFonts w:ascii="Arial" w:hAnsi="Arial" w:cs="Arial"/>
                <w:sz w:val="20"/>
                <w:szCs w:val="20"/>
              </w:rPr>
              <w:t xml:space="preserve">. </w:t>
            </w:r>
          </w:p>
        </w:tc>
        <w:tc>
          <w:tcPr>
            <w:tcW w:w="3578" w:type="dxa"/>
            <w:tcBorders>
              <w:top w:val="single" w:sz="8" w:space="0" w:color="000000"/>
              <w:left w:val="single" w:sz="8" w:space="0" w:color="000000"/>
              <w:bottom w:val="single" w:sz="8" w:space="0" w:color="000000"/>
              <w:right w:val="single" w:sz="8" w:space="0" w:color="000000"/>
            </w:tcBorders>
          </w:tcPr>
          <w:p w14:paraId="6BF03B0C" w14:textId="77777777" w:rsidR="00397752" w:rsidRDefault="00397752" w:rsidP="00481CE6">
            <w:pPr>
              <w:pStyle w:val="Default"/>
              <w:numPr>
                <w:ilvl w:val="0"/>
                <w:numId w:val="27"/>
              </w:numPr>
              <w:spacing w:before="110" w:after="110"/>
              <w:ind w:left="176" w:hanging="142"/>
              <w:rPr>
                <w:rFonts w:ascii="Arial" w:hAnsi="Arial" w:cs="Arial"/>
                <w:sz w:val="20"/>
                <w:szCs w:val="20"/>
              </w:rPr>
            </w:pPr>
            <w:r>
              <w:rPr>
                <w:rFonts w:ascii="Arial" w:hAnsi="Arial" w:cs="Arial"/>
                <w:sz w:val="20"/>
                <w:szCs w:val="20"/>
              </w:rPr>
              <w:t>Tender allows for evaluation of experience and capacity of key personnel.</w:t>
            </w:r>
          </w:p>
          <w:p w14:paraId="7A16211C" w14:textId="77777777" w:rsidR="00397752" w:rsidRDefault="00397752" w:rsidP="00481CE6">
            <w:pPr>
              <w:pStyle w:val="Default"/>
              <w:numPr>
                <w:ilvl w:val="0"/>
                <w:numId w:val="27"/>
              </w:numPr>
              <w:spacing w:before="110" w:after="110"/>
              <w:ind w:left="176" w:hanging="142"/>
              <w:rPr>
                <w:rFonts w:ascii="Arial" w:hAnsi="Arial" w:cs="Arial"/>
                <w:sz w:val="20"/>
                <w:szCs w:val="20"/>
              </w:rPr>
            </w:pPr>
            <w:r>
              <w:rPr>
                <w:rFonts w:ascii="Arial" w:hAnsi="Arial" w:cs="Arial"/>
                <w:sz w:val="20"/>
                <w:szCs w:val="20"/>
              </w:rPr>
              <w:t>T</w:t>
            </w:r>
            <w:r w:rsidRPr="00634E17">
              <w:rPr>
                <w:rFonts w:ascii="Arial" w:hAnsi="Arial" w:cs="Arial"/>
                <w:sz w:val="20"/>
                <w:szCs w:val="20"/>
              </w:rPr>
              <w:t xml:space="preserve">ender </w:t>
            </w:r>
            <w:r>
              <w:rPr>
                <w:rFonts w:ascii="Arial" w:hAnsi="Arial" w:cs="Arial"/>
                <w:sz w:val="20"/>
                <w:szCs w:val="20"/>
              </w:rPr>
              <w:t xml:space="preserve">allows for assessment of </w:t>
            </w:r>
            <w:r w:rsidRPr="00634E17">
              <w:rPr>
                <w:rFonts w:ascii="Arial" w:hAnsi="Arial" w:cs="Arial"/>
                <w:sz w:val="20"/>
                <w:szCs w:val="20"/>
              </w:rPr>
              <w:t xml:space="preserve">maturity of the </w:t>
            </w:r>
            <w:r w:rsidR="00282E5F">
              <w:rPr>
                <w:rFonts w:ascii="Arial" w:hAnsi="Arial" w:cs="Arial"/>
                <w:sz w:val="20"/>
                <w:szCs w:val="20"/>
              </w:rPr>
              <w:t xml:space="preserve">tendered </w:t>
            </w:r>
            <w:r w:rsidRPr="00634E17">
              <w:rPr>
                <w:rFonts w:ascii="Arial" w:hAnsi="Arial" w:cs="Arial"/>
                <w:sz w:val="20"/>
                <w:szCs w:val="20"/>
              </w:rPr>
              <w:t xml:space="preserve">solution. </w:t>
            </w:r>
          </w:p>
          <w:p w14:paraId="3E0122C9" w14:textId="77777777" w:rsidR="00593BBB" w:rsidRDefault="00593BBB" w:rsidP="00481CE6">
            <w:pPr>
              <w:pStyle w:val="Default"/>
              <w:numPr>
                <w:ilvl w:val="0"/>
                <w:numId w:val="27"/>
              </w:numPr>
              <w:spacing w:before="110" w:after="110"/>
              <w:ind w:left="176" w:hanging="142"/>
              <w:rPr>
                <w:rFonts w:ascii="Arial" w:hAnsi="Arial" w:cs="Arial"/>
                <w:sz w:val="20"/>
                <w:szCs w:val="20"/>
              </w:rPr>
            </w:pPr>
            <w:r w:rsidRPr="00634E17">
              <w:rPr>
                <w:rFonts w:ascii="Arial" w:hAnsi="Arial" w:cs="Arial"/>
                <w:sz w:val="20"/>
                <w:szCs w:val="20"/>
              </w:rPr>
              <w:t>Tender allows for evaluation of financial viability</w:t>
            </w:r>
            <w:r w:rsidR="00282E5F">
              <w:rPr>
                <w:rFonts w:ascii="Arial" w:hAnsi="Arial" w:cs="Arial"/>
                <w:sz w:val="20"/>
                <w:szCs w:val="20"/>
              </w:rPr>
              <w:t xml:space="preserve"> and projected viability if contract is awarded</w:t>
            </w:r>
            <w:r w:rsidRPr="00634E17">
              <w:rPr>
                <w:rFonts w:ascii="Arial" w:hAnsi="Arial" w:cs="Arial"/>
                <w:sz w:val="20"/>
                <w:szCs w:val="20"/>
              </w:rPr>
              <w:t xml:space="preserve">. </w:t>
            </w:r>
          </w:p>
          <w:p w14:paraId="5F272B36" w14:textId="671A1DC4" w:rsidR="00C50E10" w:rsidRDefault="00C50E10" w:rsidP="00481CE6">
            <w:pPr>
              <w:pStyle w:val="Default"/>
              <w:numPr>
                <w:ilvl w:val="0"/>
                <w:numId w:val="27"/>
              </w:numPr>
              <w:spacing w:before="110" w:after="110"/>
              <w:ind w:left="176" w:hanging="142"/>
              <w:rPr>
                <w:rFonts w:ascii="Arial" w:hAnsi="Arial" w:cs="Arial"/>
                <w:sz w:val="20"/>
                <w:szCs w:val="20"/>
              </w:rPr>
            </w:pPr>
            <w:r>
              <w:rPr>
                <w:rFonts w:ascii="Arial" w:hAnsi="Arial" w:cs="Arial"/>
                <w:sz w:val="20"/>
                <w:szCs w:val="20"/>
              </w:rPr>
              <w:t>Payment schedule is designed to reflect the value delivered to the Commonwealth (</w:t>
            </w:r>
            <w:r w:rsidR="00525494">
              <w:rPr>
                <w:rFonts w:ascii="Arial" w:hAnsi="Arial" w:cs="Arial"/>
                <w:sz w:val="20"/>
                <w:szCs w:val="20"/>
              </w:rPr>
              <w:t>i.e.</w:t>
            </w:r>
            <w:r>
              <w:rPr>
                <w:rFonts w:ascii="Arial" w:hAnsi="Arial" w:cs="Arial"/>
                <w:sz w:val="20"/>
                <w:szCs w:val="20"/>
              </w:rPr>
              <w:t xml:space="preserve"> it is not front-loaded)</w:t>
            </w:r>
            <w:r w:rsidR="00525494">
              <w:rPr>
                <w:rFonts w:ascii="Arial" w:hAnsi="Arial" w:cs="Arial"/>
                <w:sz w:val="20"/>
                <w:szCs w:val="20"/>
              </w:rPr>
              <w:t>.</w:t>
            </w:r>
          </w:p>
          <w:p w14:paraId="4CA05D59" w14:textId="0C597697" w:rsidR="00593BBB" w:rsidRPr="00634E17" w:rsidRDefault="00E53819" w:rsidP="00481CE6">
            <w:pPr>
              <w:pStyle w:val="Default"/>
              <w:numPr>
                <w:ilvl w:val="0"/>
                <w:numId w:val="27"/>
              </w:numPr>
              <w:spacing w:before="110" w:after="110"/>
              <w:ind w:left="176" w:hanging="142"/>
              <w:rPr>
                <w:rFonts w:ascii="Arial" w:hAnsi="Arial" w:cs="Arial"/>
                <w:sz w:val="20"/>
                <w:szCs w:val="20"/>
              </w:rPr>
            </w:pPr>
            <w:r>
              <w:rPr>
                <w:rFonts w:ascii="Arial" w:hAnsi="Arial" w:cs="Arial"/>
                <w:sz w:val="20"/>
                <w:szCs w:val="20"/>
              </w:rPr>
              <w:t>Bank guarantee</w:t>
            </w:r>
            <w:r w:rsidR="00593BBB" w:rsidRPr="00634E17">
              <w:rPr>
                <w:rFonts w:ascii="Arial" w:hAnsi="Arial" w:cs="Arial"/>
                <w:sz w:val="20"/>
                <w:szCs w:val="20"/>
              </w:rPr>
              <w:t xml:space="preserve"> will be obtained to secure </w:t>
            </w:r>
            <w:r w:rsidR="00282E5F">
              <w:rPr>
                <w:rFonts w:ascii="Arial" w:hAnsi="Arial" w:cs="Arial"/>
                <w:sz w:val="20"/>
                <w:szCs w:val="20"/>
              </w:rPr>
              <w:t xml:space="preserve">contract </w:t>
            </w:r>
            <w:r w:rsidR="00593BBB" w:rsidRPr="00634E17">
              <w:rPr>
                <w:rFonts w:ascii="Arial" w:hAnsi="Arial" w:cs="Arial"/>
                <w:sz w:val="20"/>
                <w:szCs w:val="20"/>
              </w:rPr>
              <w:t xml:space="preserve">performance and </w:t>
            </w:r>
            <w:r w:rsidR="00397752">
              <w:rPr>
                <w:rFonts w:ascii="Arial" w:hAnsi="Arial" w:cs="Arial"/>
                <w:sz w:val="20"/>
                <w:szCs w:val="20"/>
              </w:rPr>
              <w:t>any mobilisation payment</w:t>
            </w:r>
            <w:r w:rsidR="00282E5F">
              <w:rPr>
                <w:rFonts w:ascii="Arial" w:hAnsi="Arial" w:cs="Arial"/>
                <w:sz w:val="20"/>
                <w:szCs w:val="20"/>
              </w:rPr>
              <w:t xml:space="preserve"> paid</w:t>
            </w:r>
            <w:r w:rsidR="00593BBB">
              <w:rPr>
                <w:rFonts w:ascii="Arial" w:hAnsi="Arial" w:cs="Arial"/>
                <w:sz w:val="20"/>
                <w:szCs w:val="20"/>
              </w:rPr>
              <w:t>.</w:t>
            </w:r>
            <w:r w:rsidR="00593BBB" w:rsidRPr="00634E17">
              <w:rPr>
                <w:rFonts w:ascii="Arial" w:hAnsi="Arial" w:cs="Arial"/>
                <w:sz w:val="20"/>
                <w:szCs w:val="20"/>
              </w:rPr>
              <w:t xml:space="preserve"> </w:t>
            </w:r>
          </w:p>
          <w:p w14:paraId="3F2A017D" w14:textId="77777777" w:rsidR="0070091B" w:rsidRPr="00A30FCC" w:rsidRDefault="00E53819" w:rsidP="00481CE6">
            <w:pPr>
              <w:pStyle w:val="Default"/>
              <w:numPr>
                <w:ilvl w:val="0"/>
                <w:numId w:val="27"/>
              </w:numPr>
              <w:spacing w:before="110" w:after="110"/>
              <w:ind w:left="176" w:hanging="142"/>
              <w:rPr>
                <w:rFonts w:ascii="Arial" w:hAnsi="Arial" w:cs="Arial"/>
                <w:sz w:val="20"/>
                <w:szCs w:val="20"/>
              </w:rPr>
            </w:pPr>
            <w:r>
              <w:rPr>
                <w:rFonts w:ascii="Arial" w:hAnsi="Arial" w:cs="Arial"/>
                <w:sz w:val="20"/>
                <w:szCs w:val="20"/>
              </w:rPr>
              <w:lastRenderedPageBreak/>
              <w:t xml:space="preserve">Deed of </w:t>
            </w:r>
            <w:r w:rsidR="00B451D2">
              <w:rPr>
                <w:rFonts w:ascii="Arial" w:hAnsi="Arial" w:cs="Arial"/>
                <w:sz w:val="20"/>
                <w:szCs w:val="20"/>
              </w:rPr>
              <w:t>g</w:t>
            </w:r>
            <w:r w:rsidR="00E70CD9">
              <w:rPr>
                <w:rFonts w:ascii="Arial" w:hAnsi="Arial" w:cs="Arial"/>
                <w:sz w:val="20"/>
                <w:szCs w:val="20"/>
              </w:rPr>
              <w:t xml:space="preserve">uarantee and </w:t>
            </w:r>
            <w:r w:rsidR="00B451D2">
              <w:rPr>
                <w:rFonts w:ascii="Arial" w:hAnsi="Arial" w:cs="Arial"/>
                <w:sz w:val="20"/>
                <w:szCs w:val="20"/>
              </w:rPr>
              <w:t>i</w:t>
            </w:r>
            <w:r w:rsidR="00E70CD9">
              <w:rPr>
                <w:rFonts w:ascii="Arial" w:hAnsi="Arial" w:cs="Arial"/>
                <w:sz w:val="20"/>
                <w:szCs w:val="20"/>
              </w:rPr>
              <w:t xml:space="preserve">ndemnity requires </w:t>
            </w:r>
            <w:r w:rsidR="00E70CD9" w:rsidRPr="00634E17">
              <w:rPr>
                <w:rFonts w:ascii="Arial" w:hAnsi="Arial" w:cs="Arial"/>
                <w:sz w:val="20"/>
                <w:szCs w:val="20"/>
              </w:rPr>
              <w:t xml:space="preserve">parent to </w:t>
            </w:r>
            <w:r w:rsidR="00E70CD9">
              <w:rPr>
                <w:rFonts w:ascii="Arial" w:hAnsi="Arial" w:cs="Arial"/>
                <w:sz w:val="20"/>
                <w:szCs w:val="20"/>
              </w:rPr>
              <w:t xml:space="preserve">ensure performance of </w:t>
            </w:r>
            <w:r w:rsidR="00780A2D">
              <w:rPr>
                <w:rFonts w:ascii="Arial" w:hAnsi="Arial" w:cs="Arial"/>
                <w:sz w:val="20"/>
                <w:szCs w:val="20"/>
              </w:rPr>
              <w:t>contractor</w:t>
            </w:r>
            <w:r w:rsidR="00397752">
              <w:rPr>
                <w:rFonts w:ascii="Arial" w:hAnsi="Arial" w:cs="Arial"/>
                <w:sz w:val="20"/>
                <w:szCs w:val="20"/>
              </w:rPr>
              <w:t>.</w:t>
            </w:r>
          </w:p>
        </w:tc>
        <w:tc>
          <w:tcPr>
            <w:tcW w:w="1223" w:type="dxa"/>
            <w:tcBorders>
              <w:top w:val="single" w:sz="8" w:space="0" w:color="000000"/>
              <w:left w:val="single" w:sz="8" w:space="0" w:color="000000"/>
              <w:bottom w:val="single" w:sz="8" w:space="0" w:color="000000"/>
              <w:right w:val="single" w:sz="8" w:space="0" w:color="000000"/>
            </w:tcBorders>
          </w:tcPr>
          <w:p w14:paraId="4987F04D" w14:textId="77777777" w:rsidR="00593BBB" w:rsidRPr="00634E17" w:rsidRDefault="00780A2D" w:rsidP="00481CE6">
            <w:pPr>
              <w:pStyle w:val="Default"/>
              <w:spacing w:before="110" w:after="110"/>
              <w:rPr>
                <w:rFonts w:ascii="Arial" w:hAnsi="Arial" w:cs="Arial"/>
                <w:sz w:val="20"/>
                <w:szCs w:val="20"/>
              </w:rPr>
            </w:pPr>
            <w:r>
              <w:rPr>
                <w:rFonts w:ascii="Arial" w:hAnsi="Arial" w:cs="Arial"/>
                <w:sz w:val="20"/>
                <w:szCs w:val="20"/>
              </w:rPr>
              <w:lastRenderedPageBreak/>
              <w:t>Rare</w:t>
            </w:r>
            <w:r w:rsidRPr="00634E17">
              <w:rPr>
                <w:rFonts w:ascii="Arial" w:hAnsi="Arial" w:cs="Arial"/>
                <w:sz w:val="20"/>
                <w:szCs w:val="20"/>
              </w:rPr>
              <w:t xml:space="preserve"> </w:t>
            </w:r>
          </w:p>
        </w:tc>
        <w:tc>
          <w:tcPr>
            <w:tcW w:w="1540" w:type="dxa"/>
            <w:tcBorders>
              <w:top w:val="single" w:sz="8" w:space="0" w:color="000000"/>
              <w:left w:val="single" w:sz="8" w:space="0" w:color="000000"/>
              <w:bottom w:val="single" w:sz="8" w:space="0" w:color="000000"/>
              <w:right w:val="single" w:sz="8" w:space="0" w:color="000000"/>
            </w:tcBorders>
          </w:tcPr>
          <w:p w14:paraId="7F1A9648" w14:textId="77777777" w:rsidR="00593BBB" w:rsidRPr="00634E17" w:rsidRDefault="00A30FCC" w:rsidP="00481CE6">
            <w:pPr>
              <w:pStyle w:val="Default"/>
              <w:spacing w:before="110" w:after="110"/>
              <w:rPr>
                <w:rFonts w:ascii="Arial" w:hAnsi="Arial" w:cs="Arial"/>
                <w:sz w:val="20"/>
                <w:szCs w:val="20"/>
              </w:rPr>
            </w:pPr>
            <w:r>
              <w:rPr>
                <w:rFonts w:ascii="Arial" w:hAnsi="Arial" w:cs="Arial"/>
                <w:sz w:val="20"/>
                <w:szCs w:val="20"/>
              </w:rPr>
              <w:t>Moderate</w:t>
            </w:r>
            <w:r w:rsidRPr="00634E17">
              <w:rPr>
                <w:rFonts w:ascii="Arial" w:hAnsi="Arial" w:cs="Arial"/>
                <w:sz w:val="20"/>
                <w:szCs w:val="20"/>
              </w:rPr>
              <w:t xml:space="preserve"> </w:t>
            </w:r>
          </w:p>
        </w:tc>
        <w:tc>
          <w:tcPr>
            <w:tcW w:w="1078" w:type="dxa"/>
            <w:tcBorders>
              <w:top w:val="single" w:sz="8" w:space="0" w:color="000000"/>
              <w:left w:val="single" w:sz="8" w:space="0" w:color="000000"/>
              <w:bottom w:val="single" w:sz="8" w:space="0" w:color="000000"/>
              <w:right w:val="single" w:sz="8" w:space="0" w:color="000000"/>
            </w:tcBorders>
          </w:tcPr>
          <w:p w14:paraId="3A043FF8" w14:textId="77777777" w:rsidR="00593BBB" w:rsidRPr="00634E17" w:rsidRDefault="00593BBB" w:rsidP="00481CE6">
            <w:pPr>
              <w:pStyle w:val="Default"/>
              <w:spacing w:before="110" w:after="110"/>
              <w:rPr>
                <w:rFonts w:ascii="Arial" w:hAnsi="Arial" w:cs="Arial"/>
                <w:sz w:val="20"/>
                <w:szCs w:val="20"/>
              </w:rPr>
            </w:pPr>
            <w:r w:rsidRPr="00634E17">
              <w:rPr>
                <w:rFonts w:ascii="Arial" w:hAnsi="Arial" w:cs="Arial"/>
                <w:sz w:val="20"/>
                <w:szCs w:val="20"/>
              </w:rPr>
              <w:t xml:space="preserve">Low </w:t>
            </w:r>
          </w:p>
        </w:tc>
      </w:tr>
      <w:tr w:rsidR="00593BBB" w:rsidRPr="00634E17" w14:paraId="2CBD5BBC" w14:textId="77777777" w:rsidTr="00871A65">
        <w:tc>
          <w:tcPr>
            <w:tcW w:w="1809" w:type="dxa"/>
            <w:tcBorders>
              <w:top w:val="single" w:sz="8" w:space="0" w:color="000000"/>
              <w:left w:val="single" w:sz="8" w:space="0" w:color="000000"/>
              <w:bottom w:val="single" w:sz="8" w:space="0" w:color="000000"/>
              <w:right w:val="single" w:sz="8" w:space="0" w:color="000000"/>
            </w:tcBorders>
          </w:tcPr>
          <w:p w14:paraId="08F75FFC" w14:textId="25BA63EB" w:rsidR="0019243F" w:rsidRPr="00C63189" w:rsidRDefault="00A30FCC" w:rsidP="00775D4A">
            <w:pPr>
              <w:pStyle w:val="Default"/>
              <w:numPr>
                <w:ilvl w:val="0"/>
                <w:numId w:val="1"/>
              </w:numPr>
              <w:tabs>
                <w:tab w:val="clear" w:pos="720"/>
                <w:tab w:val="left" w:pos="284"/>
              </w:tabs>
              <w:spacing w:before="110" w:after="110"/>
              <w:ind w:left="0" w:firstLine="0"/>
              <w:rPr>
                <w:rFonts w:ascii="Arial" w:hAnsi="Arial" w:cs="Arial"/>
                <w:sz w:val="20"/>
                <w:szCs w:val="20"/>
              </w:rPr>
            </w:pPr>
            <w:r w:rsidRPr="00C63189">
              <w:rPr>
                <w:rFonts w:ascii="Arial" w:hAnsi="Arial" w:cs="Arial"/>
                <w:sz w:val="20"/>
                <w:szCs w:val="20"/>
              </w:rPr>
              <w:t>The</w:t>
            </w:r>
            <w:r w:rsidR="00780A2D" w:rsidRPr="00C63189">
              <w:rPr>
                <w:rFonts w:ascii="Arial" w:hAnsi="Arial" w:cs="Arial"/>
                <w:sz w:val="20"/>
                <w:szCs w:val="20"/>
              </w:rPr>
              <w:t xml:space="preserve"> c</w:t>
            </w:r>
            <w:r w:rsidR="00F821D3" w:rsidRPr="00C63189">
              <w:rPr>
                <w:rFonts w:ascii="Arial" w:hAnsi="Arial" w:cs="Arial"/>
                <w:sz w:val="20"/>
                <w:szCs w:val="20"/>
              </w:rPr>
              <w:t>ontractor</w:t>
            </w:r>
            <w:r w:rsidRPr="00C63189">
              <w:rPr>
                <w:rFonts w:ascii="Arial" w:hAnsi="Arial" w:cs="Arial"/>
                <w:sz w:val="20"/>
                <w:szCs w:val="20"/>
              </w:rPr>
              <w:t xml:space="preserve"> completes </w:t>
            </w:r>
            <w:r w:rsidR="007831BE" w:rsidRPr="00C63189">
              <w:rPr>
                <w:rFonts w:ascii="Arial" w:hAnsi="Arial" w:cs="Arial"/>
                <w:sz w:val="20"/>
                <w:szCs w:val="20"/>
              </w:rPr>
              <w:t xml:space="preserve">the contract </w:t>
            </w:r>
            <w:r w:rsidRPr="00C63189">
              <w:rPr>
                <w:rFonts w:ascii="Arial" w:hAnsi="Arial" w:cs="Arial"/>
                <w:sz w:val="20"/>
                <w:szCs w:val="20"/>
              </w:rPr>
              <w:t>but the supplies provided are not fit for purpose, are defective or do not provide the capability contracted for</w:t>
            </w:r>
            <w:r w:rsidRPr="00C63189" w:rsidDel="00A30FCC">
              <w:rPr>
                <w:rFonts w:ascii="Arial" w:hAnsi="Arial" w:cs="Arial"/>
                <w:sz w:val="20"/>
                <w:szCs w:val="20"/>
              </w:rPr>
              <w:t xml:space="preserve"> </w:t>
            </w:r>
          </w:p>
          <w:p w14:paraId="1675D53A" w14:textId="76CFD04B" w:rsidR="0019243F" w:rsidRPr="00634E17" w:rsidRDefault="00EA70EB" w:rsidP="00D462F0">
            <w:pPr>
              <w:pStyle w:val="NoteToDrafters-ASDEFCON"/>
            </w:pPr>
            <w:r>
              <w:t xml:space="preserve">Note to drafters:  </w:t>
            </w:r>
            <w:r w:rsidR="0019243F">
              <w:t xml:space="preserve">Related liability </w:t>
            </w:r>
            <w:r w:rsidR="00775D4A">
              <w:t>c</w:t>
            </w:r>
            <w:r w:rsidR="0019243F">
              <w:t xml:space="preserve">ap – loss of use of </w:t>
            </w:r>
            <w:r w:rsidR="00775D4A">
              <w:t>s</w:t>
            </w:r>
            <w:r w:rsidR="0019243F">
              <w:t>upplies</w:t>
            </w:r>
          </w:p>
        </w:tc>
        <w:tc>
          <w:tcPr>
            <w:tcW w:w="1560" w:type="dxa"/>
            <w:tcBorders>
              <w:top w:val="single" w:sz="8" w:space="0" w:color="000000"/>
              <w:left w:val="single" w:sz="8" w:space="0" w:color="000000"/>
              <w:bottom w:val="single" w:sz="8" w:space="0" w:color="000000"/>
              <w:right w:val="single" w:sz="8" w:space="0" w:color="000000"/>
            </w:tcBorders>
          </w:tcPr>
          <w:p w14:paraId="4181D894" w14:textId="77777777" w:rsidR="00593BBB" w:rsidRDefault="00593BBB" w:rsidP="00481CE6">
            <w:pPr>
              <w:pStyle w:val="Default"/>
              <w:numPr>
                <w:ilvl w:val="0"/>
                <w:numId w:val="27"/>
              </w:numPr>
              <w:spacing w:before="110" w:after="110"/>
              <w:ind w:left="176" w:hanging="142"/>
              <w:rPr>
                <w:rFonts w:ascii="Arial" w:hAnsi="Arial" w:cs="Arial"/>
                <w:sz w:val="20"/>
                <w:szCs w:val="20"/>
              </w:rPr>
            </w:pPr>
            <w:r w:rsidRPr="00634E17">
              <w:rPr>
                <w:rFonts w:ascii="Arial" w:hAnsi="Arial" w:cs="Arial"/>
                <w:sz w:val="20"/>
                <w:szCs w:val="20"/>
              </w:rPr>
              <w:t xml:space="preserve">Lack of expertise in the </w:t>
            </w:r>
            <w:r w:rsidR="00780A2D">
              <w:rPr>
                <w:rFonts w:ascii="Arial" w:hAnsi="Arial" w:cs="Arial"/>
                <w:sz w:val="20"/>
                <w:szCs w:val="20"/>
              </w:rPr>
              <w:t>company</w:t>
            </w:r>
            <w:r w:rsidRPr="00634E17">
              <w:rPr>
                <w:rFonts w:ascii="Arial" w:hAnsi="Arial" w:cs="Arial"/>
                <w:sz w:val="20"/>
                <w:szCs w:val="20"/>
              </w:rPr>
              <w:t xml:space="preserve"> </w:t>
            </w:r>
          </w:p>
          <w:p w14:paraId="2D5E7CAF" w14:textId="77777777" w:rsidR="00593BBB" w:rsidRDefault="00593BBB" w:rsidP="00481CE6">
            <w:pPr>
              <w:pStyle w:val="Default"/>
              <w:numPr>
                <w:ilvl w:val="0"/>
                <w:numId w:val="27"/>
              </w:numPr>
              <w:spacing w:before="110" w:after="110"/>
              <w:ind w:left="176" w:hanging="142"/>
              <w:rPr>
                <w:rFonts w:ascii="Arial" w:hAnsi="Arial" w:cs="Arial"/>
                <w:sz w:val="20"/>
                <w:szCs w:val="20"/>
              </w:rPr>
            </w:pPr>
            <w:r>
              <w:rPr>
                <w:rFonts w:ascii="Arial" w:hAnsi="Arial" w:cs="Arial"/>
                <w:sz w:val="20"/>
                <w:szCs w:val="20"/>
              </w:rPr>
              <w:t>U</w:t>
            </w:r>
            <w:r w:rsidRPr="00634E17">
              <w:rPr>
                <w:rFonts w:ascii="Arial" w:hAnsi="Arial" w:cs="Arial"/>
                <w:sz w:val="20"/>
                <w:szCs w:val="20"/>
              </w:rPr>
              <w:t xml:space="preserve">nproven solution </w:t>
            </w:r>
          </w:p>
          <w:p w14:paraId="1CE21407" w14:textId="77777777" w:rsidR="00E14FB6" w:rsidRPr="00634E17" w:rsidRDefault="00E14FB6" w:rsidP="00571A1C">
            <w:pPr>
              <w:pStyle w:val="Default"/>
              <w:spacing w:before="110" w:after="110"/>
              <w:ind w:left="34"/>
              <w:rPr>
                <w:rFonts w:ascii="Arial" w:hAnsi="Arial" w:cs="Arial"/>
                <w:sz w:val="20"/>
                <w:szCs w:val="20"/>
              </w:rPr>
            </w:pPr>
          </w:p>
        </w:tc>
        <w:tc>
          <w:tcPr>
            <w:tcW w:w="1439" w:type="dxa"/>
            <w:tcBorders>
              <w:top w:val="single" w:sz="8" w:space="0" w:color="000000"/>
              <w:left w:val="single" w:sz="8" w:space="0" w:color="000000"/>
              <w:bottom w:val="single" w:sz="8" w:space="0" w:color="000000"/>
              <w:right w:val="single" w:sz="8" w:space="0" w:color="000000"/>
            </w:tcBorders>
          </w:tcPr>
          <w:p w14:paraId="28270AD7" w14:textId="77777777" w:rsidR="00F45A6F" w:rsidRDefault="00593BBB" w:rsidP="00571A1C">
            <w:pPr>
              <w:pStyle w:val="Default"/>
              <w:spacing w:before="110" w:after="110"/>
              <w:rPr>
                <w:rFonts w:ascii="Arial" w:hAnsi="Arial" w:cs="Arial"/>
                <w:sz w:val="20"/>
                <w:szCs w:val="20"/>
              </w:rPr>
            </w:pPr>
            <w:r w:rsidRPr="00634E17">
              <w:rPr>
                <w:rFonts w:ascii="Arial" w:hAnsi="Arial" w:cs="Arial"/>
                <w:sz w:val="20"/>
                <w:szCs w:val="20"/>
              </w:rPr>
              <w:t>Performance</w:t>
            </w:r>
          </w:p>
          <w:p w14:paraId="7CD799B7" w14:textId="77777777" w:rsidR="00A867B9" w:rsidRPr="00634E17" w:rsidRDefault="00A867B9" w:rsidP="00571A1C">
            <w:pPr>
              <w:pStyle w:val="Default"/>
              <w:spacing w:before="110" w:after="110"/>
              <w:rPr>
                <w:rFonts w:ascii="Arial" w:hAnsi="Arial" w:cs="Arial"/>
                <w:sz w:val="20"/>
                <w:szCs w:val="20"/>
              </w:rPr>
            </w:pPr>
            <w:r>
              <w:rPr>
                <w:rFonts w:ascii="Arial" w:hAnsi="Arial" w:cs="Arial"/>
                <w:sz w:val="20"/>
                <w:szCs w:val="20"/>
              </w:rPr>
              <w:t>Cost</w:t>
            </w:r>
          </w:p>
        </w:tc>
        <w:tc>
          <w:tcPr>
            <w:tcW w:w="2671" w:type="dxa"/>
            <w:tcBorders>
              <w:top w:val="single" w:sz="8" w:space="0" w:color="000000"/>
              <w:left w:val="single" w:sz="8" w:space="0" w:color="000000"/>
              <w:bottom w:val="single" w:sz="8" w:space="0" w:color="000000"/>
              <w:right w:val="single" w:sz="8" w:space="0" w:color="000000"/>
            </w:tcBorders>
          </w:tcPr>
          <w:p w14:paraId="763109D9" w14:textId="696CDEF3" w:rsidR="00F66406" w:rsidRDefault="00A76098" w:rsidP="00571A1C">
            <w:pPr>
              <w:pStyle w:val="Default"/>
              <w:spacing w:before="110" w:after="110"/>
              <w:rPr>
                <w:rFonts w:ascii="Arial" w:hAnsi="Arial" w:cs="Arial"/>
                <w:sz w:val="20"/>
                <w:szCs w:val="20"/>
              </w:rPr>
            </w:pPr>
            <w:r>
              <w:rPr>
                <w:rFonts w:ascii="Arial" w:hAnsi="Arial" w:cs="Arial"/>
                <w:sz w:val="20"/>
                <w:szCs w:val="20"/>
              </w:rPr>
              <w:t xml:space="preserve">Costs </w:t>
            </w:r>
            <w:r w:rsidR="00F66406">
              <w:rPr>
                <w:rFonts w:ascii="Arial" w:hAnsi="Arial" w:cs="Arial"/>
                <w:sz w:val="20"/>
                <w:szCs w:val="20"/>
              </w:rPr>
              <w:t xml:space="preserve">for </w:t>
            </w:r>
            <w:r w:rsidR="00F66406" w:rsidRPr="003B5832">
              <w:rPr>
                <w:rFonts w:ascii="Arial" w:hAnsi="Arial" w:cs="Arial"/>
                <w:sz w:val="20"/>
                <w:szCs w:val="20"/>
              </w:rPr>
              <w:t xml:space="preserve">loss of use of supplies </w:t>
            </w:r>
            <w:r w:rsidR="00F66406">
              <w:rPr>
                <w:rFonts w:ascii="Arial" w:hAnsi="Arial" w:cs="Arial"/>
                <w:sz w:val="20"/>
                <w:szCs w:val="20"/>
              </w:rPr>
              <w:t>include:</w:t>
            </w:r>
          </w:p>
          <w:p w14:paraId="5253BA26" w14:textId="707854BF" w:rsidR="00F66406" w:rsidRPr="00C4541F" w:rsidRDefault="00A76098" w:rsidP="00481CE6">
            <w:pPr>
              <w:pStyle w:val="Default"/>
              <w:numPr>
                <w:ilvl w:val="0"/>
                <w:numId w:val="27"/>
              </w:numPr>
              <w:spacing w:before="110" w:after="110"/>
              <w:rPr>
                <w:rFonts w:ascii="Arial" w:hAnsi="Arial" w:cs="Arial"/>
                <w:sz w:val="20"/>
                <w:szCs w:val="20"/>
              </w:rPr>
            </w:pPr>
            <w:r>
              <w:rPr>
                <w:rFonts w:ascii="Arial" w:hAnsi="Arial" w:cs="Arial"/>
                <w:sz w:val="20"/>
                <w:szCs w:val="20"/>
              </w:rPr>
              <w:t>w</w:t>
            </w:r>
            <w:r w:rsidR="00F66406">
              <w:rPr>
                <w:rFonts w:ascii="Arial" w:hAnsi="Arial" w:cs="Arial"/>
                <w:sz w:val="20"/>
                <w:szCs w:val="20"/>
              </w:rPr>
              <w:t xml:space="preserve">asted crewing costs </w:t>
            </w:r>
            <w:r>
              <w:rPr>
                <w:rFonts w:ascii="Arial" w:hAnsi="Arial" w:cs="Arial"/>
                <w:sz w:val="20"/>
                <w:szCs w:val="20"/>
              </w:rPr>
              <w:t>estimated at</w:t>
            </w:r>
            <w:r w:rsidR="00F66406">
              <w:rPr>
                <w:rFonts w:ascii="Arial" w:hAnsi="Arial" w:cs="Arial"/>
                <w:sz w:val="20"/>
                <w:szCs w:val="20"/>
              </w:rPr>
              <w:t xml:space="preserve"> $</w:t>
            </w:r>
            <w:r>
              <w:rPr>
                <w:rFonts w:ascii="Arial" w:hAnsi="Arial" w:cs="Arial"/>
                <w:sz w:val="20"/>
                <w:szCs w:val="20"/>
              </w:rPr>
              <w:t>20k</w:t>
            </w:r>
            <w:r w:rsidR="00F66406">
              <w:rPr>
                <w:rFonts w:ascii="Arial" w:hAnsi="Arial" w:cs="Arial"/>
                <w:sz w:val="20"/>
                <w:szCs w:val="20"/>
              </w:rPr>
              <w:t xml:space="preserve"> a day</w:t>
            </w:r>
            <w:r>
              <w:rPr>
                <w:rFonts w:ascii="Arial" w:hAnsi="Arial" w:cs="Arial"/>
                <w:sz w:val="20"/>
                <w:szCs w:val="20"/>
              </w:rPr>
              <w:t xml:space="preserve"> for </w:t>
            </w:r>
            <w:r w:rsidR="00EA70EB">
              <w:rPr>
                <w:rFonts w:ascii="Arial" w:hAnsi="Arial" w:cs="Arial"/>
                <w:sz w:val="20"/>
                <w:szCs w:val="20"/>
              </w:rPr>
              <w:t>365 days</w:t>
            </w:r>
            <w:r w:rsidR="003B6058">
              <w:rPr>
                <w:rFonts w:ascii="Arial" w:hAnsi="Arial" w:cs="Arial"/>
                <w:sz w:val="20"/>
                <w:szCs w:val="20"/>
              </w:rPr>
              <w:t xml:space="preserve"> ($7.3m)</w:t>
            </w:r>
          </w:p>
          <w:p w14:paraId="7119286E" w14:textId="3C7B7691" w:rsidR="00593BBB" w:rsidRDefault="00F66406" w:rsidP="00481CE6">
            <w:pPr>
              <w:pStyle w:val="Default"/>
              <w:numPr>
                <w:ilvl w:val="0"/>
                <w:numId w:val="27"/>
              </w:numPr>
              <w:spacing w:before="110" w:after="110"/>
              <w:rPr>
                <w:rFonts w:ascii="Arial" w:hAnsi="Arial" w:cs="Arial"/>
                <w:sz w:val="20"/>
                <w:szCs w:val="20"/>
              </w:rPr>
            </w:pPr>
            <w:r w:rsidRPr="00E717FB">
              <w:rPr>
                <w:rFonts w:ascii="Arial" w:hAnsi="Arial" w:cs="Arial"/>
                <w:sz w:val="20"/>
                <w:szCs w:val="20"/>
              </w:rPr>
              <w:t>provid</w:t>
            </w:r>
            <w:r>
              <w:rPr>
                <w:rFonts w:ascii="Arial" w:hAnsi="Arial" w:cs="Arial"/>
                <w:sz w:val="20"/>
                <w:szCs w:val="20"/>
              </w:rPr>
              <w:t>ing</w:t>
            </w:r>
            <w:r w:rsidRPr="00E717FB">
              <w:rPr>
                <w:rFonts w:ascii="Arial" w:hAnsi="Arial" w:cs="Arial"/>
                <w:sz w:val="20"/>
                <w:szCs w:val="20"/>
              </w:rPr>
              <w:t xml:space="preserve"> </w:t>
            </w:r>
            <w:r>
              <w:rPr>
                <w:rFonts w:ascii="Arial" w:hAnsi="Arial" w:cs="Arial"/>
                <w:sz w:val="20"/>
                <w:szCs w:val="20"/>
              </w:rPr>
              <w:t xml:space="preserve">alternate capability </w:t>
            </w:r>
            <w:r w:rsidR="00FD2A5D">
              <w:rPr>
                <w:rFonts w:ascii="Arial" w:hAnsi="Arial" w:cs="Arial"/>
                <w:sz w:val="20"/>
                <w:szCs w:val="20"/>
              </w:rPr>
              <w:t xml:space="preserve">or extending existing capability </w:t>
            </w:r>
            <w:r>
              <w:rPr>
                <w:rFonts w:ascii="Arial" w:hAnsi="Arial" w:cs="Arial"/>
                <w:sz w:val="20"/>
                <w:szCs w:val="20"/>
              </w:rPr>
              <w:t>until the supplies</w:t>
            </w:r>
            <w:r w:rsidRPr="00E717FB">
              <w:rPr>
                <w:rFonts w:ascii="Arial" w:hAnsi="Arial" w:cs="Arial"/>
                <w:sz w:val="20"/>
                <w:szCs w:val="20"/>
              </w:rPr>
              <w:t xml:space="preserve"> are rectified </w:t>
            </w:r>
            <w:r w:rsidR="00A76098">
              <w:rPr>
                <w:rFonts w:ascii="Arial" w:hAnsi="Arial" w:cs="Arial"/>
                <w:sz w:val="20"/>
                <w:szCs w:val="20"/>
              </w:rPr>
              <w:t>estimated at $1</w:t>
            </w:r>
            <w:r w:rsidR="00B06BBF">
              <w:rPr>
                <w:rFonts w:ascii="Arial" w:hAnsi="Arial" w:cs="Arial"/>
                <w:sz w:val="20"/>
                <w:szCs w:val="20"/>
              </w:rPr>
              <w:t>m</w:t>
            </w:r>
            <w:r>
              <w:rPr>
                <w:rFonts w:ascii="Arial" w:hAnsi="Arial" w:cs="Arial"/>
                <w:sz w:val="20"/>
                <w:szCs w:val="20"/>
              </w:rPr>
              <w:t xml:space="preserve"> a </w:t>
            </w:r>
            <w:r w:rsidR="00A76098">
              <w:rPr>
                <w:rFonts w:ascii="Arial" w:hAnsi="Arial" w:cs="Arial"/>
                <w:sz w:val="20"/>
                <w:szCs w:val="20"/>
              </w:rPr>
              <w:t xml:space="preserve">month for </w:t>
            </w:r>
            <w:r w:rsidR="003C3D2F">
              <w:rPr>
                <w:rFonts w:ascii="Arial" w:hAnsi="Arial" w:cs="Arial"/>
                <w:sz w:val="20"/>
                <w:szCs w:val="20"/>
              </w:rPr>
              <w:t xml:space="preserve">12 </w:t>
            </w:r>
            <w:r w:rsidR="00A76098">
              <w:rPr>
                <w:rFonts w:ascii="Arial" w:hAnsi="Arial" w:cs="Arial"/>
                <w:sz w:val="20"/>
                <w:szCs w:val="20"/>
              </w:rPr>
              <w:t>months</w:t>
            </w:r>
            <w:r w:rsidR="003B6058">
              <w:rPr>
                <w:rFonts w:ascii="Arial" w:hAnsi="Arial" w:cs="Arial"/>
                <w:sz w:val="20"/>
                <w:szCs w:val="20"/>
              </w:rPr>
              <w:t xml:space="preserve"> ($12m)</w:t>
            </w:r>
          </w:p>
          <w:p w14:paraId="6D3101FD" w14:textId="77777777" w:rsidR="00037DEC" w:rsidRPr="00634E17" w:rsidRDefault="00037DEC" w:rsidP="00571A1C">
            <w:pPr>
              <w:pStyle w:val="Default"/>
              <w:spacing w:before="110" w:after="110"/>
              <w:rPr>
                <w:rFonts w:ascii="Arial" w:hAnsi="Arial" w:cs="Arial"/>
                <w:sz w:val="20"/>
                <w:szCs w:val="20"/>
              </w:rPr>
            </w:pPr>
            <w:r>
              <w:rPr>
                <w:rFonts w:ascii="Arial" w:hAnsi="Arial" w:cs="Arial"/>
                <w:sz w:val="20"/>
                <w:szCs w:val="20"/>
              </w:rPr>
              <w:t xml:space="preserve">The </w:t>
            </w:r>
            <w:r w:rsidR="00B451D2">
              <w:rPr>
                <w:rFonts w:ascii="Arial" w:hAnsi="Arial" w:cs="Arial"/>
                <w:sz w:val="20"/>
                <w:szCs w:val="20"/>
              </w:rPr>
              <w:t>p</w:t>
            </w:r>
            <w:r>
              <w:rPr>
                <w:rFonts w:ascii="Arial" w:hAnsi="Arial" w:cs="Arial"/>
                <w:sz w:val="20"/>
                <w:szCs w:val="20"/>
              </w:rPr>
              <w:t xml:space="preserve">roject considers that issues with the supplies would be resolved within </w:t>
            </w:r>
            <w:r w:rsidR="003C3D2F">
              <w:rPr>
                <w:rFonts w:ascii="Arial" w:hAnsi="Arial" w:cs="Arial"/>
                <w:sz w:val="20"/>
                <w:szCs w:val="20"/>
              </w:rPr>
              <w:t xml:space="preserve">12 </w:t>
            </w:r>
            <w:r>
              <w:rPr>
                <w:rFonts w:ascii="Arial" w:hAnsi="Arial" w:cs="Arial"/>
                <w:sz w:val="20"/>
                <w:szCs w:val="20"/>
              </w:rPr>
              <w:t xml:space="preserve">months or the contract </w:t>
            </w:r>
            <w:r w:rsidR="000707C6">
              <w:rPr>
                <w:rFonts w:ascii="Arial" w:hAnsi="Arial" w:cs="Arial"/>
                <w:sz w:val="20"/>
                <w:szCs w:val="20"/>
              </w:rPr>
              <w:t xml:space="preserve">would otherwise be </w:t>
            </w:r>
            <w:r>
              <w:rPr>
                <w:rFonts w:ascii="Arial" w:hAnsi="Arial" w:cs="Arial"/>
                <w:sz w:val="20"/>
                <w:szCs w:val="20"/>
              </w:rPr>
              <w:t>terminated.</w:t>
            </w:r>
          </w:p>
        </w:tc>
        <w:tc>
          <w:tcPr>
            <w:tcW w:w="3578" w:type="dxa"/>
            <w:tcBorders>
              <w:top w:val="single" w:sz="8" w:space="0" w:color="000000"/>
              <w:left w:val="single" w:sz="8" w:space="0" w:color="000000"/>
              <w:bottom w:val="single" w:sz="8" w:space="0" w:color="000000"/>
              <w:right w:val="single" w:sz="8" w:space="0" w:color="000000"/>
            </w:tcBorders>
          </w:tcPr>
          <w:p w14:paraId="0C2634D5" w14:textId="77777777" w:rsidR="00384195" w:rsidRDefault="00384195" w:rsidP="00481CE6">
            <w:pPr>
              <w:pStyle w:val="Default"/>
              <w:numPr>
                <w:ilvl w:val="0"/>
                <w:numId w:val="27"/>
              </w:numPr>
              <w:spacing w:before="110" w:after="110"/>
              <w:ind w:left="176" w:hanging="142"/>
              <w:rPr>
                <w:rFonts w:ascii="Arial" w:hAnsi="Arial" w:cs="Arial"/>
                <w:sz w:val="20"/>
                <w:szCs w:val="20"/>
              </w:rPr>
            </w:pPr>
            <w:r>
              <w:rPr>
                <w:rFonts w:ascii="Arial" w:hAnsi="Arial" w:cs="Arial"/>
                <w:sz w:val="20"/>
                <w:szCs w:val="20"/>
              </w:rPr>
              <w:t>Tender allows for evaluation of experience and capacity of key personnel.</w:t>
            </w:r>
          </w:p>
          <w:p w14:paraId="30C594D7" w14:textId="77777777" w:rsidR="00593BBB" w:rsidRDefault="00384195" w:rsidP="00481CE6">
            <w:pPr>
              <w:pStyle w:val="Default"/>
              <w:numPr>
                <w:ilvl w:val="0"/>
                <w:numId w:val="27"/>
              </w:numPr>
              <w:spacing w:before="110" w:after="110"/>
              <w:ind w:left="176" w:hanging="142"/>
              <w:rPr>
                <w:rFonts w:ascii="Arial" w:hAnsi="Arial" w:cs="Arial"/>
                <w:sz w:val="20"/>
                <w:szCs w:val="20"/>
              </w:rPr>
            </w:pPr>
            <w:r>
              <w:rPr>
                <w:rFonts w:ascii="Arial" w:hAnsi="Arial" w:cs="Arial"/>
                <w:sz w:val="20"/>
                <w:szCs w:val="20"/>
              </w:rPr>
              <w:t>T</w:t>
            </w:r>
            <w:r w:rsidRPr="00634E17">
              <w:rPr>
                <w:rFonts w:ascii="Arial" w:hAnsi="Arial" w:cs="Arial"/>
                <w:sz w:val="20"/>
                <w:szCs w:val="20"/>
              </w:rPr>
              <w:t xml:space="preserve">ender </w:t>
            </w:r>
            <w:r>
              <w:rPr>
                <w:rFonts w:ascii="Arial" w:hAnsi="Arial" w:cs="Arial"/>
                <w:sz w:val="20"/>
                <w:szCs w:val="20"/>
              </w:rPr>
              <w:t xml:space="preserve">allows for assessment of </w:t>
            </w:r>
            <w:r w:rsidRPr="00634E17">
              <w:rPr>
                <w:rFonts w:ascii="Arial" w:hAnsi="Arial" w:cs="Arial"/>
                <w:sz w:val="20"/>
                <w:szCs w:val="20"/>
              </w:rPr>
              <w:t xml:space="preserve">maturity of the </w:t>
            </w:r>
            <w:r w:rsidR="0070091B">
              <w:rPr>
                <w:rFonts w:ascii="Arial" w:hAnsi="Arial" w:cs="Arial"/>
                <w:sz w:val="20"/>
                <w:szCs w:val="20"/>
              </w:rPr>
              <w:t xml:space="preserve">tendered </w:t>
            </w:r>
            <w:r w:rsidRPr="00634E17">
              <w:rPr>
                <w:rFonts w:ascii="Arial" w:hAnsi="Arial" w:cs="Arial"/>
                <w:sz w:val="20"/>
                <w:szCs w:val="20"/>
              </w:rPr>
              <w:t xml:space="preserve">solution. </w:t>
            </w:r>
          </w:p>
          <w:p w14:paraId="26EBBE32" w14:textId="57AC6B67" w:rsidR="00E14FB6" w:rsidRDefault="00593BBB" w:rsidP="00481CE6">
            <w:pPr>
              <w:pStyle w:val="Default"/>
              <w:numPr>
                <w:ilvl w:val="0"/>
                <w:numId w:val="27"/>
              </w:numPr>
              <w:spacing w:before="110" w:after="110"/>
              <w:ind w:left="176" w:hanging="142"/>
              <w:rPr>
                <w:rFonts w:ascii="Arial" w:hAnsi="Arial" w:cs="Arial"/>
                <w:sz w:val="20"/>
                <w:szCs w:val="20"/>
              </w:rPr>
            </w:pPr>
            <w:r w:rsidRPr="00634E17">
              <w:rPr>
                <w:rFonts w:ascii="Arial" w:hAnsi="Arial" w:cs="Arial"/>
                <w:sz w:val="20"/>
                <w:szCs w:val="20"/>
              </w:rPr>
              <w:t xml:space="preserve">Contract provides for </w:t>
            </w:r>
            <w:r w:rsidR="001D1544">
              <w:rPr>
                <w:rFonts w:ascii="Arial" w:hAnsi="Arial" w:cs="Arial"/>
                <w:sz w:val="20"/>
                <w:szCs w:val="20"/>
              </w:rPr>
              <w:t xml:space="preserve">design reviews, </w:t>
            </w:r>
            <w:r w:rsidRPr="00634E17">
              <w:rPr>
                <w:rFonts w:ascii="Arial" w:hAnsi="Arial" w:cs="Arial"/>
                <w:sz w:val="20"/>
                <w:szCs w:val="20"/>
              </w:rPr>
              <w:t xml:space="preserve">acceptance testing and </w:t>
            </w:r>
            <w:r w:rsidR="00E14FB6">
              <w:rPr>
                <w:rFonts w:ascii="Arial" w:hAnsi="Arial" w:cs="Arial"/>
                <w:sz w:val="20"/>
                <w:szCs w:val="20"/>
              </w:rPr>
              <w:t>defect rectification</w:t>
            </w:r>
            <w:r w:rsidR="00E14FB6" w:rsidRPr="00634E17">
              <w:rPr>
                <w:rFonts w:ascii="Arial" w:hAnsi="Arial" w:cs="Arial"/>
                <w:sz w:val="20"/>
                <w:szCs w:val="20"/>
              </w:rPr>
              <w:t xml:space="preserve"> </w:t>
            </w:r>
            <w:r w:rsidRPr="00634E17">
              <w:rPr>
                <w:rFonts w:ascii="Arial" w:hAnsi="Arial" w:cs="Arial"/>
                <w:sz w:val="20"/>
                <w:szCs w:val="20"/>
              </w:rPr>
              <w:t>period</w:t>
            </w:r>
            <w:r w:rsidR="00C92401">
              <w:rPr>
                <w:rFonts w:ascii="Arial" w:hAnsi="Arial" w:cs="Arial"/>
                <w:sz w:val="20"/>
                <w:szCs w:val="20"/>
              </w:rPr>
              <w:t xml:space="preserve"> to address defects</w:t>
            </w:r>
            <w:r>
              <w:rPr>
                <w:rFonts w:ascii="Arial" w:hAnsi="Arial" w:cs="Arial"/>
                <w:sz w:val="20"/>
                <w:szCs w:val="20"/>
              </w:rPr>
              <w:t>.</w:t>
            </w:r>
            <w:r w:rsidRPr="00634E17">
              <w:rPr>
                <w:rFonts w:ascii="Arial" w:hAnsi="Arial" w:cs="Arial"/>
                <w:sz w:val="20"/>
                <w:szCs w:val="20"/>
              </w:rPr>
              <w:t xml:space="preserve"> </w:t>
            </w:r>
          </w:p>
          <w:p w14:paraId="3CEC3F95" w14:textId="77777777" w:rsidR="00E14FB6" w:rsidRDefault="00E14FB6" w:rsidP="00481CE6">
            <w:pPr>
              <w:pStyle w:val="Default"/>
              <w:numPr>
                <w:ilvl w:val="0"/>
                <w:numId w:val="27"/>
              </w:numPr>
              <w:spacing w:before="110" w:after="110"/>
              <w:ind w:left="176" w:hanging="142"/>
              <w:rPr>
                <w:rFonts w:ascii="Arial" w:hAnsi="Arial" w:cs="Arial"/>
                <w:sz w:val="20"/>
                <w:szCs w:val="20"/>
              </w:rPr>
            </w:pPr>
            <w:r>
              <w:rPr>
                <w:rFonts w:ascii="Arial" w:hAnsi="Arial" w:cs="Arial"/>
                <w:sz w:val="20"/>
                <w:szCs w:val="20"/>
              </w:rPr>
              <w:t>Contract includes requirement to obtain third party warranties</w:t>
            </w:r>
            <w:r w:rsidR="00C92401">
              <w:rPr>
                <w:rFonts w:ascii="Arial" w:hAnsi="Arial" w:cs="Arial"/>
                <w:sz w:val="20"/>
                <w:szCs w:val="20"/>
              </w:rPr>
              <w:t xml:space="preserve"> for Commonwealth benefit</w:t>
            </w:r>
            <w:r w:rsidR="00384195">
              <w:rPr>
                <w:rFonts w:ascii="Arial" w:hAnsi="Arial" w:cs="Arial"/>
                <w:sz w:val="20"/>
                <w:szCs w:val="20"/>
              </w:rPr>
              <w:t>.</w:t>
            </w:r>
          </w:p>
          <w:p w14:paraId="4E50128A" w14:textId="38563E27" w:rsidR="001D1544" w:rsidRPr="002F4A42" w:rsidRDefault="00E14FB6" w:rsidP="002F4A42">
            <w:pPr>
              <w:pStyle w:val="Default"/>
              <w:numPr>
                <w:ilvl w:val="0"/>
                <w:numId w:val="27"/>
              </w:numPr>
              <w:spacing w:before="110" w:after="110"/>
              <w:ind w:left="176" w:hanging="142"/>
              <w:rPr>
                <w:rFonts w:ascii="Arial" w:hAnsi="Arial" w:cs="Arial"/>
                <w:sz w:val="20"/>
                <w:szCs w:val="20"/>
              </w:rPr>
            </w:pPr>
            <w:r>
              <w:rPr>
                <w:rFonts w:ascii="Arial" w:hAnsi="Arial" w:cs="Arial"/>
                <w:sz w:val="20"/>
                <w:szCs w:val="20"/>
              </w:rPr>
              <w:t xml:space="preserve">Contract contains a clear description of purpose of </w:t>
            </w:r>
            <w:r w:rsidR="00780A2D">
              <w:rPr>
                <w:rFonts w:ascii="Arial" w:hAnsi="Arial" w:cs="Arial"/>
                <w:sz w:val="20"/>
                <w:szCs w:val="20"/>
              </w:rPr>
              <w:t>supplies</w:t>
            </w:r>
            <w:r>
              <w:rPr>
                <w:rFonts w:ascii="Arial" w:hAnsi="Arial" w:cs="Arial"/>
                <w:sz w:val="20"/>
                <w:szCs w:val="20"/>
              </w:rPr>
              <w:t>, with objective specifications</w:t>
            </w:r>
            <w:r w:rsidR="00C92401">
              <w:rPr>
                <w:rFonts w:ascii="Arial" w:hAnsi="Arial" w:cs="Arial"/>
                <w:sz w:val="20"/>
                <w:szCs w:val="20"/>
              </w:rPr>
              <w:t xml:space="preserve"> to be met</w:t>
            </w:r>
            <w:r w:rsidR="00384195">
              <w:rPr>
                <w:rFonts w:ascii="Arial" w:hAnsi="Arial" w:cs="Arial"/>
                <w:sz w:val="20"/>
                <w:szCs w:val="20"/>
              </w:rPr>
              <w:t>.</w:t>
            </w:r>
          </w:p>
        </w:tc>
        <w:tc>
          <w:tcPr>
            <w:tcW w:w="1223" w:type="dxa"/>
            <w:tcBorders>
              <w:top w:val="single" w:sz="8" w:space="0" w:color="000000"/>
              <w:left w:val="single" w:sz="8" w:space="0" w:color="000000"/>
              <w:bottom w:val="single" w:sz="8" w:space="0" w:color="000000"/>
              <w:right w:val="single" w:sz="8" w:space="0" w:color="000000"/>
            </w:tcBorders>
          </w:tcPr>
          <w:p w14:paraId="70E4290C" w14:textId="77777777" w:rsidR="00593BBB" w:rsidRPr="00634E17" w:rsidRDefault="00593BBB" w:rsidP="00571A1C">
            <w:pPr>
              <w:pStyle w:val="Default"/>
              <w:spacing w:before="110" w:after="110"/>
              <w:rPr>
                <w:rFonts w:ascii="Arial" w:hAnsi="Arial" w:cs="Arial"/>
                <w:sz w:val="20"/>
                <w:szCs w:val="20"/>
              </w:rPr>
            </w:pPr>
            <w:r w:rsidRPr="00634E17">
              <w:rPr>
                <w:rFonts w:ascii="Arial" w:hAnsi="Arial" w:cs="Arial"/>
                <w:sz w:val="20"/>
                <w:szCs w:val="20"/>
              </w:rPr>
              <w:t xml:space="preserve">Possible </w:t>
            </w:r>
          </w:p>
        </w:tc>
        <w:tc>
          <w:tcPr>
            <w:tcW w:w="1540" w:type="dxa"/>
            <w:tcBorders>
              <w:top w:val="single" w:sz="8" w:space="0" w:color="000000"/>
              <w:left w:val="single" w:sz="8" w:space="0" w:color="000000"/>
              <w:bottom w:val="single" w:sz="8" w:space="0" w:color="000000"/>
              <w:right w:val="single" w:sz="8" w:space="0" w:color="000000"/>
            </w:tcBorders>
          </w:tcPr>
          <w:p w14:paraId="7C07A74B" w14:textId="77777777" w:rsidR="00593BBB" w:rsidRPr="00634E17" w:rsidRDefault="00593BBB" w:rsidP="00571A1C">
            <w:pPr>
              <w:pStyle w:val="Default"/>
              <w:spacing w:before="110" w:after="110"/>
              <w:rPr>
                <w:rFonts w:ascii="Arial" w:hAnsi="Arial" w:cs="Arial"/>
                <w:sz w:val="20"/>
                <w:szCs w:val="20"/>
              </w:rPr>
            </w:pPr>
            <w:r w:rsidRPr="00634E17">
              <w:rPr>
                <w:rFonts w:ascii="Arial" w:hAnsi="Arial" w:cs="Arial"/>
                <w:sz w:val="20"/>
                <w:szCs w:val="20"/>
              </w:rPr>
              <w:t xml:space="preserve">Moderate </w:t>
            </w:r>
          </w:p>
        </w:tc>
        <w:tc>
          <w:tcPr>
            <w:tcW w:w="1078" w:type="dxa"/>
            <w:tcBorders>
              <w:top w:val="single" w:sz="8" w:space="0" w:color="000000"/>
              <w:left w:val="single" w:sz="8" w:space="0" w:color="000000"/>
              <w:bottom w:val="single" w:sz="8" w:space="0" w:color="000000"/>
              <w:right w:val="single" w:sz="8" w:space="0" w:color="000000"/>
            </w:tcBorders>
          </w:tcPr>
          <w:p w14:paraId="4CA9E4DA" w14:textId="77777777" w:rsidR="00593BBB" w:rsidRPr="00634E17" w:rsidRDefault="00593BBB" w:rsidP="00571A1C">
            <w:pPr>
              <w:pStyle w:val="Default"/>
              <w:spacing w:before="110" w:after="110"/>
              <w:rPr>
                <w:rFonts w:ascii="Arial" w:hAnsi="Arial" w:cs="Arial"/>
                <w:sz w:val="20"/>
                <w:szCs w:val="20"/>
              </w:rPr>
            </w:pPr>
            <w:r w:rsidRPr="00634E17">
              <w:rPr>
                <w:rFonts w:ascii="Arial" w:hAnsi="Arial" w:cs="Arial"/>
                <w:sz w:val="20"/>
                <w:szCs w:val="20"/>
              </w:rPr>
              <w:t xml:space="preserve">Medium </w:t>
            </w:r>
          </w:p>
        </w:tc>
      </w:tr>
      <w:tr w:rsidR="00593BBB" w:rsidRPr="00634E17" w14:paraId="5B871CD4" w14:textId="77777777" w:rsidTr="00871A65">
        <w:tc>
          <w:tcPr>
            <w:tcW w:w="1809" w:type="dxa"/>
            <w:tcBorders>
              <w:top w:val="single" w:sz="8" w:space="0" w:color="000000"/>
              <w:left w:val="single" w:sz="8" w:space="0" w:color="000000"/>
              <w:bottom w:val="single" w:sz="8" w:space="0" w:color="000000"/>
              <w:right w:val="single" w:sz="8" w:space="0" w:color="000000"/>
            </w:tcBorders>
          </w:tcPr>
          <w:p w14:paraId="7F4A7FD0" w14:textId="77777777" w:rsidR="00593BBB" w:rsidRDefault="00A30FCC" w:rsidP="00571A1C">
            <w:pPr>
              <w:pStyle w:val="Default"/>
              <w:numPr>
                <w:ilvl w:val="0"/>
                <w:numId w:val="1"/>
              </w:numPr>
              <w:tabs>
                <w:tab w:val="clear" w:pos="720"/>
                <w:tab w:val="left" w:pos="284"/>
              </w:tabs>
              <w:spacing w:before="110" w:after="110"/>
              <w:ind w:left="0" w:firstLine="0"/>
              <w:rPr>
                <w:rFonts w:ascii="Arial" w:hAnsi="Arial" w:cs="Arial"/>
                <w:sz w:val="20"/>
                <w:szCs w:val="20"/>
              </w:rPr>
            </w:pPr>
            <w:r w:rsidRPr="00A30FCC">
              <w:rPr>
                <w:rFonts w:ascii="Arial" w:hAnsi="Arial" w:cs="Arial"/>
                <w:sz w:val="20"/>
                <w:szCs w:val="20"/>
              </w:rPr>
              <w:t>The</w:t>
            </w:r>
            <w:r w:rsidR="00780A2D">
              <w:rPr>
                <w:rFonts w:ascii="Arial" w:hAnsi="Arial" w:cs="Arial"/>
                <w:sz w:val="20"/>
                <w:szCs w:val="20"/>
              </w:rPr>
              <w:t xml:space="preserve"> c</w:t>
            </w:r>
            <w:r w:rsidR="00F821D3">
              <w:rPr>
                <w:rFonts w:ascii="Arial" w:hAnsi="Arial" w:cs="Arial"/>
                <w:sz w:val="20"/>
                <w:szCs w:val="20"/>
              </w:rPr>
              <w:t>ontractor</w:t>
            </w:r>
            <w:r w:rsidRPr="00A30FCC">
              <w:rPr>
                <w:rFonts w:ascii="Arial" w:hAnsi="Arial" w:cs="Arial"/>
                <w:sz w:val="20"/>
                <w:szCs w:val="20"/>
              </w:rPr>
              <w:t xml:space="preserve"> completes </w:t>
            </w:r>
            <w:r w:rsidR="007831BE">
              <w:rPr>
                <w:rFonts w:ascii="Arial" w:hAnsi="Arial" w:cs="Arial"/>
                <w:sz w:val="20"/>
                <w:szCs w:val="20"/>
              </w:rPr>
              <w:t xml:space="preserve">the contract </w:t>
            </w:r>
            <w:r w:rsidRPr="00A30FCC">
              <w:rPr>
                <w:rFonts w:ascii="Arial" w:hAnsi="Arial" w:cs="Arial"/>
                <w:sz w:val="20"/>
                <w:szCs w:val="20"/>
              </w:rPr>
              <w:t xml:space="preserve">but not on time or one or </w:t>
            </w:r>
            <w:r w:rsidRPr="00A30FCC">
              <w:rPr>
                <w:rFonts w:ascii="Arial" w:hAnsi="Arial" w:cs="Arial"/>
                <w:sz w:val="20"/>
                <w:szCs w:val="20"/>
              </w:rPr>
              <w:lastRenderedPageBreak/>
              <w:t xml:space="preserve">more </w:t>
            </w:r>
            <w:r w:rsidR="00B451D2">
              <w:rPr>
                <w:rFonts w:ascii="Arial" w:hAnsi="Arial" w:cs="Arial"/>
                <w:sz w:val="20"/>
                <w:szCs w:val="20"/>
              </w:rPr>
              <w:t>m</w:t>
            </w:r>
            <w:r w:rsidRPr="00A30FCC">
              <w:rPr>
                <w:rFonts w:ascii="Arial" w:hAnsi="Arial" w:cs="Arial"/>
                <w:sz w:val="20"/>
                <w:szCs w:val="20"/>
              </w:rPr>
              <w:t xml:space="preserve">ilestone </w:t>
            </w:r>
            <w:r w:rsidR="00B451D2">
              <w:rPr>
                <w:rFonts w:ascii="Arial" w:hAnsi="Arial" w:cs="Arial"/>
                <w:sz w:val="20"/>
                <w:szCs w:val="20"/>
              </w:rPr>
              <w:t>d</w:t>
            </w:r>
            <w:r w:rsidRPr="00A30FCC">
              <w:rPr>
                <w:rFonts w:ascii="Arial" w:hAnsi="Arial" w:cs="Arial"/>
                <w:sz w:val="20"/>
                <w:szCs w:val="20"/>
              </w:rPr>
              <w:t>ates are not met</w:t>
            </w:r>
          </w:p>
          <w:p w14:paraId="7774FB48" w14:textId="6F7E9EBF" w:rsidR="00050157" w:rsidRPr="00634E17" w:rsidRDefault="00EA70EB" w:rsidP="00C05145">
            <w:pPr>
              <w:pStyle w:val="NoteToDrafters-ASDEFCON"/>
            </w:pPr>
            <w:r>
              <w:t xml:space="preserve">Note to drafters:  </w:t>
            </w:r>
            <w:r w:rsidR="00050157">
              <w:t xml:space="preserve">Related liability </w:t>
            </w:r>
            <w:r w:rsidR="00C05145">
              <w:t>c</w:t>
            </w:r>
            <w:r w:rsidR="00050157">
              <w:t>ap – liquidated damages</w:t>
            </w:r>
          </w:p>
        </w:tc>
        <w:tc>
          <w:tcPr>
            <w:tcW w:w="1560" w:type="dxa"/>
            <w:tcBorders>
              <w:top w:val="single" w:sz="8" w:space="0" w:color="000000"/>
              <w:left w:val="single" w:sz="8" w:space="0" w:color="000000"/>
              <w:bottom w:val="single" w:sz="8" w:space="0" w:color="000000"/>
              <w:right w:val="single" w:sz="8" w:space="0" w:color="000000"/>
            </w:tcBorders>
          </w:tcPr>
          <w:p w14:paraId="5DD8FE01" w14:textId="77777777" w:rsidR="00593BBB" w:rsidRDefault="00593BBB" w:rsidP="00481CE6">
            <w:pPr>
              <w:pStyle w:val="Default"/>
              <w:numPr>
                <w:ilvl w:val="0"/>
                <w:numId w:val="27"/>
              </w:numPr>
              <w:spacing w:before="110" w:after="110"/>
              <w:ind w:left="176" w:hanging="142"/>
              <w:rPr>
                <w:rFonts w:ascii="Arial" w:hAnsi="Arial" w:cs="Arial"/>
                <w:sz w:val="20"/>
                <w:szCs w:val="20"/>
              </w:rPr>
            </w:pPr>
            <w:r w:rsidRPr="00634E17">
              <w:rPr>
                <w:rFonts w:ascii="Arial" w:hAnsi="Arial" w:cs="Arial"/>
                <w:sz w:val="20"/>
                <w:szCs w:val="20"/>
              </w:rPr>
              <w:lastRenderedPageBreak/>
              <w:t>Capacity issues given competing projects</w:t>
            </w:r>
          </w:p>
          <w:p w14:paraId="68954826" w14:textId="77777777" w:rsidR="00593BBB" w:rsidRDefault="00DD5F4D" w:rsidP="00481CE6">
            <w:pPr>
              <w:pStyle w:val="Default"/>
              <w:numPr>
                <w:ilvl w:val="0"/>
                <w:numId w:val="27"/>
              </w:numPr>
              <w:spacing w:before="110" w:after="110"/>
              <w:ind w:left="176" w:hanging="142"/>
              <w:rPr>
                <w:rFonts w:ascii="Arial" w:hAnsi="Arial" w:cs="Arial"/>
                <w:sz w:val="20"/>
                <w:szCs w:val="20"/>
              </w:rPr>
            </w:pPr>
            <w:r w:rsidRPr="00634E17">
              <w:rPr>
                <w:rFonts w:ascii="Arial" w:hAnsi="Arial" w:cs="Arial"/>
                <w:sz w:val="20"/>
                <w:szCs w:val="20"/>
              </w:rPr>
              <w:lastRenderedPageBreak/>
              <w:t xml:space="preserve">Poor </w:t>
            </w:r>
            <w:r w:rsidR="00593BBB" w:rsidRPr="00634E17">
              <w:rPr>
                <w:rFonts w:ascii="Arial" w:hAnsi="Arial" w:cs="Arial"/>
                <w:sz w:val="20"/>
                <w:szCs w:val="20"/>
              </w:rPr>
              <w:t xml:space="preserve">management skills </w:t>
            </w:r>
          </w:p>
          <w:p w14:paraId="41FDC733" w14:textId="77777777" w:rsidR="00DD5F4D" w:rsidRDefault="00DD5F4D" w:rsidP="00481CE6">
            <w:pPr>
              <w:pStyle w:val="Default"/>
              <w:numPr>
                <w:ilvl w:val="0"/>
                <w:numId w:val="27"/>
              </w:numPr>
              <w:spacing w:before="110" w:after="110"/>
              <w:ind w:left="176" w:hanging="142"/>
              <w:rPr>
                <w:rFonts w:ascii="Arial" w:hAnsi="Arial" w:cs="Arial"/>
                <w:sz w:val="20"/>
                <w:szCs w:val="20"/>
              </w:rPr>
            </w:pPr>
            <w:r>
              <w:rPr>
                <w:rFonts w:ascii="Arial" w:hAnsi="Arial" w:cs="Arial"/>
                <w:sz w:val="20"/>
                <w:szCs w:val="20"/>
              </w:rPr>
              <w:t>Unproven solution</w:t>
            </w:r>
          </w:p>
          <w:p w14:paraId="3FCFD0DC" w14:textId="77777777" w:rsidR="00E44846" w:rsidRPr="00634E17" w:rsidRDefault="00E44846" w:rsidP="00481CE6">
            <w:pPr>
              <w:pStyle w:val="Default"/>
              <w:numPr>
                <w:ilvl w:val="0"/>
                <w:numId w:val="27"/>
              </w:numPr>
              <w:spacing w:before="110" w:after="110"/>
              <w:ind w:left="176" w:hanging="142"/>
              <w:rPr>
                <w:rFonts w:ascii="Arial" w:hAnsi="Arial" w:cs="Arial"/>
                <w:sz w:val="20"/>
                <w:szCs w:val="20"/>
              </w:rPr>
            </w:pPr>
            <w:r w:rsidRPr="00474D5B">
              <w:rPr>
                <w:rFonts w:ascii="Arial" w:hAnsi="Arial" w:cs="Arial"/>
                <w:sz w:val="20"/>
                <w:szCs w:val="20"/>
              </w:rPr>
              <w:t xml:space="preserve">Contractor </w:t>
            </w:r>
            <w:r>
              <w:rPr>
                <w:rFonts w:ascii="Arial" w:hAnsi="Arial" w:cs="Arial"/>
                <w:sz w:val="20"/>
                <w:szCs w:val="20"/>
              </w:rPr>
              <w:t xml:space="preserve">damages </w:t>
            </w:r>
            <w:r w:rsidRPr="00474D5B">
              <w:rPr>
                <w:rFonts w:ascii="Arial" w:hAnsi="Arial" w:cs="Arial"/>
                <w:sz w:val="20"/>
                <w:szCs w:val="20"/>
              </w:rPr>
              <w:t xml:space="preserve"> </w:t>
            </w:r>
            <w:r w:rsidR="00780A2D">
              <w:rPr>
                <w:rFonts w:ascii="Arial" w:hAnsi="Arial" w:cs="Arial"/>
                <w:sz w:val="20"/>
                <w:szCs w:val="20"/>
              </w:rPr>
              <w:t>supplies</w:t>
            </w:r>
            <w:r w:rsidRPr="00474D5B">
              <w:rPr>
                <w:rFonts w:ascii="Arial" w:hAnsi="Arial" w:cs="Arial"/>
                <w:sz w:val="20"/>
                <w:szCs w:val="20"/>
              </w:rPr>
              <w:t xml:space="preserve"> before they are </w:t>
            </w:r>
            <w:r w:rsidR="00DD5F4D">
              <w:rPr>
                <w:rFonts w:ascii="Arial" w:hAnsi="Arial" w:cs="Arial"/>
                <w:sz w:val="20"/>
                <w:szCs w:val="20"/>
              </w:rPr>
              <w:t>a</w:t>
            </w:r>
            <w:r w:rsidRPr="00474D5B">
              <w:rPr>
                <w:rFonts w:ascii="Arial" w:hAnsi="Arial" w:cs="Arial"/>
                <w:sz w:val="20"/>
                <w:szCs w:val="20"/>
              </w:rPr>
              <w:t>ccepted</w:t>
            </w:r>
          </w:p>
        </w:tc>
        <w:tc>
          <w:tcPr>
            <w:tcW w:w="1439" w:type="dxa"/>
            <w:tcBorders>
              <w:top w:val="single" w:sz="8" w:space="0" w:color="000000"/>
              <w:left w:val="single" w:sz="8" w:space="0" w:color="000000"/>
              <w:bottom w:val="single" w:sz="8" w:space="0" w:color="000000"/>
              <w:right w:val="single" w:sz="8" w:space="0" w:color="000000"/>
            </w:tcBorders>
          </w:tcPr>
          <w:p w14:paraId="228C5FE4" w14:textId="77777777" w:rsidR="00593BBB" w:rsidRDefault="00593BBB" w:rsidP="00571A1C">
            <w:pPr>
              <w:pStyle w:val="Default"/>
              <w:spacing w:before="110" w:after="110"/>
              <w:rPr>
                <w:rFonts w:ascii="Arial" w:hAnsi="Arial" w:cs="Arial"/>
                <w:sz w:val="20"/>
                <w:szCs w:val="20"/>
              </w:rPr>
            </w:pPr>
            <w:r w:rsidRPr="00634E17">
              <w:rPr>
                <w:rFonts w:ascii="Arial" w:hAnsi="Arial" w:cs="Arial"/>
                <w:sz w:val="20"/>
                <w:szCs w:val="20"/>
              </w:rPr>
              <w:lastRenderedPageBreak/>
              <w:t xml:space="preserve">Schedule </w:t>
            </w:r>
          </w:p>
          <w:p w14:paraId="7E476ABE" w14:textId="77777777" w:rsidR="00F45A6F" w:rsidRDefault="00F45A6F" w:rsidP="00571A1C">
            <w:pPr>
              <w:pStyle w:val="Default"/>
              <w:spacing w:before="110" w:after="110"/>
              <w:rPr>
                <w:rFonts w:ascii="Arial" w:hAnsi="Arial" w:cs="Arial"/>
                <w:sz w:val="20"/>
                <w:szCs w:val="20"/>
              </w:rPr>
            </w:pPr>
            <w:r>
              <w:rPr>
                <w:rFonts w:ascii="Arial" w:hAnsi="Arial" w:cs="Arial"/>
                <w:sz w:val="20"/>
                <w:szCs w:val="20"/>
              </w:rPr>
              <w:t>Cost</w:t>
            </w:r>
          </w:p>
          <w:p w14:paraId="14D6EEB7" w14:textId="77777777" w:rsidR="000707C6" w:rsidRDefault="000707C6" w:rsidP="00571A1C">
            <w:pPr>
              <w:pStyle w:val="Default"/>
              <w:spacing w:before="110" w:after="110"/>
              <w:rPr>
                <w:rFonts w:ascii="Arial" w:hAnsi="Arial" w:cs="Arial"/>
                <w:sz w:val="20"/>
                <w:szCs w:val="20"/>
              </w:rPr>
            </w:pPr>
          </w:p>
          <w:p w14:paraId="1490A758" w14:textId="77777777" w:rsidR="000707C6" w:rsidRPr="00634E17" w:rsidRDefault="000707C6" w:rsidP="00571A1C">
            <w:pPr>
              <w:pStyle w:val="Default"/>
              <w:spacing w:before="110" w:after="110"/>
              <w:rPr>
                <w:rFonts w:ascii="Arial" w:hAnsi="Arial" w:cs="Arial"/>
                <w:sz w:val="20"/>
                <w:szCs w:val="20"/>
              </w:rPr>
            </w:pPr>
          </w:p>
        </w:tc>
        <w:tc>
          <w:tcPr>
            <w:tcW w:w="2671" w:type="dxa"/>
            <w:tcBorders>
              <w:top w:val="single" w:sz="8" w:space="0" w:color="000000"/>
              <w:left w:val="single" w:sz="8" w:space="0" w:color="000000"/>
              <w:bottom w:val="single" w:sz="8" w:space="0" w:color="000000"/>
              <w:right w:val="single" w:sz="8" w:space="0" w:color="000000"/>
            </w:tcBorders>
          </w:tcPr>
          <w:p w14:paraId="0C708BAD" w14:textId="6410C21D" w:rsidR="00610AD0" w:rsidRDefault="00193CEE" w:rsidP="00571A1C">
            <w:pPr>
              <w:pStyle w:val="Default"/>
              <w:spacing w:before="110" w:after="110"/>
              <w:rPr>
                <w:rFonts w:ascii="Arial" w:hAnsi="Arial" w:cs="Arial"/>
                <w:sz w:val="20"/>
                <w:szCs w:val="20"/>
              </w:rPr>
            </w:pPr>
            <w:r w:rsidRPr="003B5832">
              <w:rPr>
                <w:rFonts w:ascii="Arial" w:hAnsi="Arial" w:cs="Arial"/>
                <w:sz w:val="20"/>
                <w:szCs w:val="20"/>
              </w:rPr>
              <w:t>Liquidated damages for delay</w:t>
            </w:r>
            <w:r w:rsidRPr="00A553AF">
              <w:rPr>
                <w:rFonts w:ascii="Arial" w:hAnsi="Arial" w:cs="Arial"/>
                <w:b/>
                <w:sz w:val="20"/>
                <w:szCs w:val="20"/>
              </w:rPr>
              <w:t xml:space="preserve"> </w:t>
            </w:r>
            <w:r w:rsidR="00610AD0">
              <w:rPr>
                <w:rFonts w:ascii="Arial" w:hAnsi="Arial" w:cs="Arial"/>
                <w:sz w:val="20"/>
                <w:szCs w:val="20"/>
              </w:rPr>
              <w:t>have been assessed as:</w:t>
            </w:r>
          </w:p>
          <w:p w14:paraId="54AB21DF" w14:textId="2D9327F2" w:rsidR="00610AD0" w:rsidRDefault="00193CEE" w:rsidP="00481CE6">
            <w:pPr>
              <w:pStyle w:val="Default"/>
              <w:numPr>
                <w:ilvl w:val="0"/>
                <w:numId w:val="27"/>
              </w:numPr>
              <w:spacing w:before="110" w:after="110"/>
              <w:rPr>
                <w:rFonts w:ascii="Arial" w:hAnsi="Arial" w:cs="Arial"/>
                <w:sz w:val="20"/>
                <w:szCs w:val="20"/>
              </w:rPr>
            </w:pPr>
            <w:r>
              <w:rPr>
                <w:rFonts w:ascii="Arial" w:hAnsi="Arial" w:cs="Arial"/>
                <w:sz w:val="20"/>
                <w:szCs w:val="20"/>
              </w:rPr>
              <w:t xml:space="preserve">cost </w:t>
            </w:r>
            <w:r w:rsidR="00610AD0">
              <w:rPr>
                <w:rFonts w:ascii="Arial" w:hAnsi="Arial" w:cs="Arial"/>
                <w:sz w:val="20"/>
                <w:szCs w:val="20"/>
              </w:rPr>
              <w:t>of standing up</w:t>
            </w:r>
            <w:r w:rsidR="00874AAB">
              <w:rPr>
                <w:rFonts w:ascii="Arial" w:hAnsi="Arial" w:cs="Arial"/>
                <w:sz w:val="20"/>
                <w:szCs w:val="20"/>
              </w:rPr>
              <w:t xml:space="preserve"> a project office estimated </w:t>
            </w:r>
            <w:r w:rsidR="00874AAB">
              <w:rPr>
                <w:rFonts w:ascii="Arial" w:hAnsi="Arial" w:cs="Arial"/>
                <w:sz w:val="20"/>
                <w:szCs w:val="20"/>
              </w:rPr>
              <w:lastRenderedPageBreak/>
              <w:t xml:space="preserve">at </w:t>
            </w:r>
            <w:r>
              <w:rPr>
                <w:rFonts w:ascii="Arial" w:hAnsi="Arial" w:cs="Arial"/>
                <w:sz w:val="20"/>
                <w:szCs w:val="20"/>
              </w:rPr>
              <w:t>$</w:t>
            </w:r>
            <w:r w:rsidR="00935B72">
              <w:rPr>
                <w:rFonts w:ascii="Arial" w:hAnsi="Arial" w:cs="Arial"/>
                <w:sz w:val="20"/>
                <w:szCs w:val="20"/>
              </w:rPr>
              <w:t>5</w:t>
            </w:r>
            <w:r w:rsidR="00874AAB">
              <w:rPr>
                <w:rFonts w:ascii="Arial" w:hAnsi="Arial" w:cs="Arial"/>
                <w:sz w:val="20"/>
                <w:szCs w:val="20"/>
              </w:rPr>
              <w:t xml:space="preserve">0k a </w:t>
            </w:r>
            <w:r w:rsidR="00935B72">
              <w:rPr>
                <w:rFonts w:ascii="Arial" w:hAnsi="Arial" w:cs="Arial"/>
                <w:sz w:val="20"/>
                <w:szCs w:val="20"/>
              </w:rPr>
              <w:t>week</w:t>
            </w:r>
            <w:r w:rsidR="00874AAB">
              <w:rPr>
                <w:rFonts w:ascii="Arial" w:hAnsi="Arial" w:cs="Arial"/>
                <w:sz w:val="20"/>
                <w:szCs w:val="20"/>
              </w:rPr>
              <w:t xml:space="preserve"> for </w:t>
            </w:r>
            <w:r w:rsidR="00E646AE">
              <w:rPr>
                <w:rFonts w:ascii="Arial" w:hAnsi="Arial" w:cs="Arial"/>
                <w:sz w:val="20"/>
                <w:szCs w:val="20"/>
              </w:rPr>
              <w:t>26 weeks</w:t>
            </w:r>
            <w:r w:rsidR="00F175E0">
              <w:rPr>
                <w:rFonts w:ascii="Arial" w:hAnsi="Arial" w:cs="Arial"/>
                <w:sz w:val="20"/>
                <w:szCs w:val="20"/>
              </w:rPr>
              <w:t xml:space="preserve"> ($1.3m)</w:t>
            </w:r>
          </w:p>
          <w:p w14:paraId="443F406D" w14:textId="01703520" w:rsidR="00935B72" w:rsidRDefault="00193CEE" w:rsidP="00481CE6">
            <w:pPr>
              <w:pStyle w:val="Default"/>
              <w:numPr>
                <w:ilvl w:val="0"/>
                <w:numId w:val="27"/>
              </w:numPr>
              <w:spacing w:before="110" w:after="110"/>
              <w:rPr>
                <w:rFonts w:ascii="Arial" w:hAnsi="Arial" w:cs="Arial"/>
                <w:sz w:val="20"/>
                <w:szCs w:val="20"/>
              </w:rPr>
            </w:pPr>
            <w:r w:rsidRPr="00634E17">
              <w:rPr>
                <w:rFonts w:ascii="Arial" w:hAnsi="Arial" w:cs="Arial"/>
                <w:sz w:val="20"/>
                <w:szCs w:val="20"/>
              </w:rPr>
              <w:t xml:space="preserve">cost </w:t>
            </w:r>
            <w:r w:rsidR="00610AD0" w:rsidRPr="00634E17">
              <w:rPr>
                <w:rFonts w:ascii="Arial" w:hAnsi="Arial" w:cs="Arial"/>
                <w:sz w:val="20"/>
                <w:szCs w:val="20"/>
              </w:rPr>
              <w:t xml:space="preserve">of keeping existing equipment </w:t>
            </w:r>
            <w:r w:rsidR="00610AD0">
              <w:rPr>
                <w:rFonts w:ascii="Arial" w:hAnsi="Arial" w:cs="Arial"/>
                <w:sz w:val="20"/>
                <w:szCs w:val="20"/>
              </w:rPr>
              <w:t xml:space="preserve">in </w:t>
            </w:r>
            <w:r w:rsidR="00610AD0" w:rsidRPr="00634E17">
              <w:rPr>
                <w:rFonts w:ascii="Arial" w:hAnsi="Arial" w:cs="Arial"/>
                <w:sz w:val="20"/>
                <w:szCs w:val="20"/>
              </w:rPr>
              <w:t>operati</w:t>
            </w:r>
            <w:r w:rsidR="00610AD0">
              <w:rPr>
                <w:rFonts w:ascii="Arial" w:hAnsi="Arial" w:cs="Arial"/>
                <w:sz w:val="20"/>
                <w:szCs w:val="20"/>
              </w:rPr>
              <w:t>o</w:t>
            </w:r>
            <w:r w:rsidR="00610AD0" w:rsidRPr="00634E17">
              <w:rPr>
                <w:rFonts w:ascii="Arial" w:hAnsi="Arial" w:cs="Arial"/>
                <w:sz w:val="20"/>
                <w:szCs w:val="20"/>
              </w:rPr>
              <w:t>n</w:t>
            </w:r>
            <w:r w:rsidR="00874AAB">
              <w:rPr>
                <w:rFonts w:ascii="Arial" w:hAnsi="Arial" w:cs="Arial"/>
                <w:sz w:val="20"/>
                <w:szCs w:val="20"/>
              </w:rPr>
              <w:t xml:space="preserve"> estimated at </w:t>
            </w:r>
            <w:r w:rsidR="00610AD0">
              <w:rPr>
                <w:rFonts w:ascii="Arial" w:hAnsi="Arial" w:cs="Arial"/>
                <w:sz w:val="20"/>
                <w:szCs w:val="20"/>
              </w:rPr>
              <w:t>$</w:t>
            </w:r>
            <w:r w:rsidR="000502D9">
              <w:rPr>
                <w:rFonts w:ascii="Arial" w:hAnsi="Arial" w:cs="Arial"/>
                <w:sz w:val="20"/>
                <w:szCs w:val="20"/>
              </w:rPr>
              <w:t>6</w:t>
            </w:r>
            <w:r w:rsidR="00874AAB">
              <w:rPr>
                <w:rFonts w:ascii="Arial" w:hAnsi="Arial" w:cs="Arial"/>
                <w:sz w:val="20"/>
                <w:szCs w:val="20"/>
              </w:rPr>
              <w:t xml:space="preserve">m for </w:t>
            </w:r>
            <w:r w:rsidR="00A22B45">
              <w:rPr>
                <w:rFonts w:ascii="Arial" w:hAnsi="Arial" w:cs="Arial"/>
                <w:sz w:val="20"/>
                <w:szCs w:val="20"/>
              </w:rPr>
              <w:t>26 weeks</w:t>
            </w:r>
          </w:p>
          <w:p w14:paraId="49977C53" w14:textId="48B2C7AB" w:rsidR="00935B72" w:rsidRPr="00634E17" w:rsidRDefault="00935B72" w:rsidP="00A22B45">
            <w:pPr>
              <w:pStyle w:val="Default"/>
              <w:spacing w:before="110" w:after="110"/>
              <w:rPr>
                <w:rFonts w:ascii="Arial" w:hAnsi="Arial" w:cs="Arial"/>
                <w:sz w:val="20"/>
                <w:szCs w:val="20"/>
              </w:rPr>
            </w:pPr>
            <w:r>
              <w:rPr>
                <w:rFonts w:ascii="Arial" w:hAnsi="Arial" w:cs="Arial"/>
                <w:sz w:val="20"/>
                <w:szCs w:val="20"/>
              </w:rPr>
              <w:t xml:space="preserve">The maximum delay that the </w:t>
            </w:r>
            <w:r w:rsidR="00B451D2">
              <w:rPr>
                <w:rFonts w:ascii="Arial" w:hAnsi="Arial" w:cs="Arial"/>
                <w:sz w:val="20"/>
                <w:szCs w:val="20"/>
              </w:rPr>
              <w:t>p</w:t>
            </w:r>
            <w:r w:rsidR="00B86A00">
              <w:rPr>
                <w:rFonts w:ascii="Arial" w:hAnsi="Arial" w:cs="Arial"/>
                <w:sz w:val="20"/>
                <w:szCs w:val="20"/>
              </w:rPr>
              <w:t>roject</w:t>
            </w:r>
            <w:r>
              <w:rPr>
                <w:rFonts w:ascii="Arial" w:hAnsi="Arial" w:cs="Arial"/>
                <w:sz w:val="20"/>
                <w:szCs w:val="20"/>
              </w:rPr>
              <w:t xml:space="preserve"> will accept is </w:t>
            </w:r>
            <w:r w:rsidR="00A22B45">
              <w:rPr>
                <w:rFonts w:ascii="Arial" w:hAnsi="Arial" w:cs="Arial"/>
                <w:sz w:val="20"/>
                <w:szCs w:val="20"/>
              </w:rPr>
              <w:t>26 weeks</w:t>
            </w:r>
            <w:r>
              <w:rPr>
                <w:rFonts w:ascii="Arial" w:hAnsi="Arial" w:cs="Arial"/>
                <w:sz w:val="20"/>
                <w:szCs w:val="20"/>
              </w:rPr>
              <w:t xml:space="preserve">. </w:t>
            </w:r>
            <w:r w:rsidR="00E20365">
              <w:rPr>
                <w:rFonts w:ascii="Arial" w:hAnsi="Arial" w:cs="Arial"/>
                <w:sz w:val="20"/>
                <w:szCs w:val="20"/>
              </w:rPr>
              <w:t xml:space="preserve"> </w:t>
            </w:r>
            <w:r w:rsidR="0070091B">
              <w:rPr>
                <w:rFonts w:ascii="Arial" w:hAnsi="Arial" w:cs="Arial"/>
                <w:sz w:val="20"/>
                <w:szCs w:val="20"/>
              </w:rPr>
              <w:t xml:space="preserve">Contract could be terminated if the liability cap is reached or </w:t>
            </w:r>
            <w:r w:rsidR="00323CA7">
              <w:rPr>
                <w:rFonts w:ascii="Arial" w:hAnsi="Arial" w:cs="Arial"/>
                <w:sz w:val="20"/>
                <w:szCs w:val="20"/>
              </w:rPr>
              <w:t xml:space="preserve">under </w:t>
            </w:r>
            <w:r w:rsidR="0070091B">
              <w:rPr>
                <w:rFonts w:ascii="Arial" w:hAnsi="Arial" w:cs="Arial"/>
                <w:sz w:val="20"/>
                <w:szCs w:val="20"/>
              </w:rPr>
              <w:t xml:space="preserve">clause </w:t>
            </w:r>
            <w:r w:rsidR="00323CA7">
              <w:rPr>
                <w:rFonts w:ascii="Arial" w:hAnsi="Arial" w:cs="Arial"/>
                <w:sz w:val="20"/>
                <w:szCs w:val="20"/>
              </w:rPr>
              <w:t xml:space="preserve">13.3. </w:t>
            </w:r>
          </w:p>
        </w:tc>
        <w:tc>
          <w:tcPr>
            <w:tcW w:w="3578" w:type="dxa"/>
            <w:tcBorders>
              <w:top w:val="single" w:sz="8" w:space="0" w:color="000000"/>
              <w:left w:val="single" w:sz="8" w:space="0" w:color="000000"/>
              <w:bottom w:val="single" w:sz="8" w:space="0" w:color="000000"/>
              <w:right w:val="single" w:sz="8" w:space="0" w:color="000000"/>
            </w:tcBorders>
          </w:tcPr>
          <w:p w14:paraId="5389571D" w14:textId="77777777" w:rsidR="00593BBB" w:rsidRDefault="006438D5" w:rsidP="00481CE6">
            <w:pPr>
              <w:pStyle w:val="Default"/>
              <w:numPr>
                <w:ilvl w:val="0"/>
                <w:numId w:val="27"/>
              </w:numPr>
              <w:spacing w:before="110" w:after="110"/>
              <w:ind w:left="176" w:hanging="142"/>
              <w:rPr>
                <w:rFonts w:ascii="Arial" w:hAnsi="Arial" w:cs="Arial"/>
                <w:sz w:val="20"/>
                <w:szCs w:val="20"/>
              </w:rPr>
            </w:pPr>
            <w:r>
              <w:rPr>
                <w:rFonts w:ascii="Arial" w:hAnsi="Arial" w:cs="Arial"/>
                <w:sz w:val="20"/>
                <w:szCs w:val="20"/>
              </w:rPr>
              <w:lastRenderedPageBreak/>
              <w:t>T</w:t>
            </w:r>
            <w:r w:rsidR="00E44846" w:rsidRPr="00634E17">
              <w:rPr>
                <w:rFonts w:ascii="Arial" w:hAnsi="Arial" w:cs="Arial"/>
                <w:sz w:val="20"/>
                <w:szCs w:val="20"/>
              </w:rPr>
              <w:t xml:space="preserve">ender </w:t>
            </w:r>
            <w:r>
              <w:rPr>
                <w:rFonts w:ascii="Arial" w:hAnsi="Arial" w:cs="Arial"/>
                <w:sz w:val="20"/>
                <w:szCs w:val="20"/>
              </w:rPr>
              <w:t xml:space="preserve">allows for </w:t>
            </w:r>
            <w:r w:rsidR="00E44846">
              <w:rPr>
                <w:rFonts w:ascii="Arial" w:hAnsi="Arial" w:cs="Arial"/>
                <w:sz w:val="20"/>
                <w:szCs w:val="20"/>
              </w:rPr>
              <w:t xml:space="preserve">assessment of </w:t>
            </w:r>
            <w:r w:rsidR="00593BBB" w:rsidRPr="00634E17">
              <w:rPr>
                <w:rFonts w:ascii="Arial" w:hAnsi="Arial" w:cs="Arial"/>
                <w:sz w:val="20"/>
                <w:szCs w:val="20"/>
              </w:rPr>
              <w:t>proposed management plans and skills,</w:t>
            </w:r>
            <w:r w:rsidR="00593BBB">
              <w:rPr>
                <w:rFonts w:ascii="Arial" w:hAnsi="Arial" w:cs="Arial"/>
                <w:sz w:val="20"/>
                <w:szCs w:val="20"/>
              </w:rPr>
              <w:t xml:space="preserve"> and</w:t>
            </w:r>
            <w:r w:rsidR="00593BBB" w:rsidRPr="00634E17">
              <w:rPr>
                <w:rFonts w:ascii="Arial" w:hAnsi="Arial" w:cs="Arial"/>
                <w:sz w:val="20"/>
                <w:szCs w:val="20"/>
              </w:rPr>
              <w:t xml:space="preserve"> proposed resourcing. </w:t>
            </w:r>
          </w:p>
          <w:p w14:paraId="56DFE101" w14:textId="77777777" w:rsidR="002E6F80" w:rsidRDefault="002E6F80" w:rsidP="00481CE6">
            <w:pPr>
              <w:pStyle w:val="Default"/>
              <w:numPr>
                <w:ilvl w:val="0"/>
                <w:numId w:val="27"/>
              </w:numPr>
              <w:spacing w:before="110" w:after="110"/>
              <w:ind w:left="176" w:hanging="142"/>
              <w:rPr>
                <w:rFonts w:ascii="Arial" w:hAnsi="Arial" w:cs="Arial"/>
                <w:sz w:val="20"/>
                <w:szCs w:val="20"/>
              </w:rPr>
            </w:pPr>
            <w:r>
              <w:rPr>
                <w:rFonts w:ascii="Arial" w:hAnsi="Arial" w:cs="Arial"/>
                <w:sz w:val="20"/>
                <w:szCs w:val="20"/>
              </w:rPr>
              <w:t>T</w:t>
            </w:r>
            <w:r w:rsidRPr="00634E17">
              <w:rPr>
                <w:rFonts w:ascii="Arial" w:hAnsi="Arial" w:cs="Arial"/>
                <w:sz w:val="20"/>
                <w:szCs w:val="20"/>
              </w:rPr>
              <w:t xml:space="preserve">ender </w:t>
            </w:r>
            <w:r>
              <w:rPr>
                <w:rFonts w:ascii="Arial" w:hAnsi="Arial" w:cs="Arial"/>
                <w:sz w:val="20"/>
                <w:szCs w:val="20"/>
              </w:rPr>
              <w:t xml:space="preserve">allows for assessment of </w:t>
            </w:r>
            <w:r w:rsidRPr="00634E17">
              <w:rPr>
                <w:rFonts w:ascii="Arial" w:hAnsi="Arial" w:cs="Arial"/>
                <w:sz w:val="20"/>
                <w:szCs w:val="20"/>
              </w:rPr>
              <w:t xml:space="preserve">maturity of the </w:t>
            </w:r>
            <w:r w:rsidR="0070091B">
              <w:rPr>
                <w:rFonts w:ascii="Arial" w:hAnsi="Arial" w:cs="Arial"/>
                <w:sz w:val="20"/>
                <w:szCs w:val="20"/>
              </w:rPr>
              <w:t xml:space="preserve">tendered </w:t>
            </w:r>
            <w:r w:rsidRPr="00634E17">
              <w:rPr>
                <w:rFonts w:ascii="Arial" w:hAnsi="Arial" w:cs="Arial"/>
                <w:sz w:val="20"/>
                <w:szCs w:val="20"/>
              </w:rPr>
              <w:t>solution.</w:t>
            </w:r>
          </w:p>
          <w:p w14:paraId="65C7CBA9" w14:textId="77777777" w:rsidR="00B53055" w:rsidRDefault="00E37244" w:rsidP="00481CE6">
            <w:pPr>
              <w:pStyle w:val="Default"/>
              <w:numPr>
                <w:ilvl w:val="0"/>
                <w:numId w:val="27"/>
              </w:numPr>
              <w:spacing w:before="110" w:after="110"/>
              <w:ind w:left="176" w:hanging="142"/>
              <w:rPr>
                <w:rFonts w:ascii="Arial" w:hAnsi="Arial" w:cs="Arial"/>
                <w:sz w:val="20"/>
                <w:szCs w:val="20"/>
              </w:rPr>
            </w:pPr>
            <w:r>
              <w:rPr>
                <w:rFonts w:ascii="Arial" w:hAnsi="Arial" w:cs="Arial"/>
                <w:sz w:val="20"/>
                <w:szCs w:val="20"/>
              </w:rPr>
              <w:lastRenderedPageBreak/>
              <w:t xml:space="preserve">Contract </w:t>
            </w:r>
            <w:r w:rsidR="00B53055">
              <w:rPr>
                <w:rFonts w:ascii="Arial" w:hAnsi="Arial" w:cs="Arial"/>
                <w:sz w:val="20"/>
                <w:szCs w:val="20"/>
              </w:rPr>
              <w:t>allows for liquidated damages.</w:t>
            </w:r>
          </w:p>
          <w:p w14:paraId="3CDD0C9A" w14:textId="77777777" w:rsidR="00B53055" w:rsidRDefault="00B53055" w:rsidP="00481CE6">
            <w:pPr>
              <w:pStyle w:val="Default"/>
              <w:numPr>
                <w:ilvl w:val="0"/>
                <w:numId w:val="27"/>
              </w:numPr>
              <w:spacing w:before="110" w:after="110"/>
              <w:ind w:left="176" w:hanging="142"/>
              <w:rPr>
                <w:rFonts w:ascii="Arial" w:hAnsi="Arial" w:cs="Arial"/>
                <w:sz w:val="20"/>
                <w:szCs w:val="20"/>
              </w:rPr>
            </w:pPr>
            <w:r w:rsidRPr="00634E17">
              <w:rPr>
                <w:rFonts w:ascii="Arial" w:hAnsi="Arial" w:cs="Arial"/>
                <w:sz w:val="20"/>
                <w:szCs w:val="20"/>
              </w:rPr>
              <w:t>Contract allows for termination for default if delay</w:t>
            </w:r>
            <w:r>
              <w:rPr>
                <w:rFonts w:ascii="Arial" w:hAnsi="Arial" w:cs="Arial"/>
                <w:sz w:val="20"/>
                <w:szCs w:val="20"/>
              </w:rPr>
              <w:t xml:space="preserve"> reaches liquidated damages cap</w:t>
            </w:r>
            <w:r w:rsidRPr="00634E17">
              <w:rPr>
                <w:rFonts w:ascii="Arial" w:hAnsi="Arial" w:cs="Arial"/>
                <w:sz w:val="20"/>
                <w:szCs w:val="20"/>
              </w:rPr>
              <w:t>.</w:t>
            </w:r>
          </w:p>
          <w:p w14:paraId="0739539B" w14:textId="77777777" w:rsidR="00BC70C1" w:rsidRPr="00634E17" w:rsidRDefault="00BC70C1" w:rsidP="00481CE6">
            <w:pPr>
              <w:pStyle w:val="Default"/>
              <w:numPr>
                <w:ilvl w:val="0"/>
                <w:numId w:val="27"/>
              </w:numPr>
              <w:spacing w:before="110" w:after="110"/>
              <w:ind w:left="176" w:hanging="142"/>
              <w:rPr>
                <w:rFonts w:ascii="Arial" w:hAnsi="Arial" w:cs="Arial"/>
                <w:sz w:val="20"/>
                <w:szCs w:val="20"/>
              </w:rPr>
            </w:pPr>
            <w:r>
              <w:rPr>
                <w:rFonts w:ascii="Arial" w:hAnsi="Arial" w:cs="Arial"/>
                <w:sz w:val="20"/>
                <w:szCs w:val="20"/>
              </w:rPr>
              <w:t>Bank guarantee</w:t>
            </w:r>
            <w:r w:rsidRPr="00634E17">
              <w:rPr>
                <w:rFonts w:ascii="Arial" w:hAnsi="Arial" w:cs="Arial"/>
                <w:sz w:val="20"/>
                <w:szCs w:val="20"/>
              </w:rPr>
              <w:t xml:space="preserve"> will be obtained to secure </w:t>
            </w:r>
            <w:r w:rsidR="0070091B">
              <w:rPr>
                <w:rFonts w:ascii="Arial" w:hAnsi="Arial" w:cs="Arial"/>
                <w:sz w:val="20"/>
                <w:szCs w:val="20"/>
              </w:rPr>
              <w:t xml:space="preserve">contract </w:t>
            </w:r>
            <w:r w:rsidRPr="00634E17">
              <w:rPr>
                <w:rFonts w:ascii="Arial" w:hAnsi="Arial" w:cs="Arial"/>
                <w:sz w:val="20"/>
                <w:szCs w:val="20"/>
              </w:rPr>
              <w:t>performance</w:t>
            </w:r>
            <w:r>
              <w:rPr>
                <w:rFonts w:ascii="Arial" w:hAnsi="Arial" w:cs="Arial"/>
                <w:sz w:val="20"/>
                <w:szCs w:val="20"/>
              </w:rPr>
              <w:t>.</w:t>
            </w:r>
            <w:r w:rsidRPr="00634E17">
              <w:rPr>
                <w:rFonts w:ascii="Arial" w:hAnsi="Arial" w:cs="Arial"/>
                <w:sz w:val="20"/>
                <w:szCs w:val="20"/>
              </w:rPr>
              <w:t xml:space="preserve"> </w:t>
            </w:r>
          </w:p>
          <w:p w14:paraId="3D4904C0" w14:textId="0DA2CA0F" w:rsidR="00593BBB" w:rsidRPr="00AB08F8" w:rsidRDefault="00BC70C1">
            <w:pPr>
              <w:pStyle w:val="Default"/>
              <w:numPr>
                <w:ilvl w:val="0"/>
                <w:numId w:val="27"/>
              </w:numPr>
              <w:spacing w:before="110" w:after="110"/>
              <w:ind w:left="176" w:hanging="142"/>
              <w:rPr>
                <w:rFonts w:ascii="Arial" w:hAnsi="Arial" w:cs="Arial"/>
                <w:sz w:val="20"/>
                <w:szCs w:val="20"/>
              </w:rPr>
            </w:pPr>
            <w:r>
              <w:rPr>
                <w:rFonts w:ascii="Arial" w:hAnsi="Arial" w:cs="Arial"/>
                <w:sz w:val="20"/>
                <w:szCs w:val="20"/>
              </w:rPr>
              <w:t xml:space="preserve">Deed of </w:t>
            </w:r>
            <w:r w:rsidR="00B451D2">
              <w:rPr>
                <w:rFonts w:ascii="Arial" w:hAnsi="Arial" w:cs="Arial"/>
                <w:sz w:val="20"/>
                <w:szCs w:val="20"/>
              </w:rPr>
              <w:t>g</w:t>
            </w:r>
            <w:r>
              <w:rPr>
                <w:rFonts w:ascii="Arial" w:hAnsi="Arial" w:cs="Arial"/>
                <w:sz w:val="20"/>
                <w:szCs w:val="20"/>
              </w:rPr>
              <w:t xml:space="preserve">uarantee and </w:t>
            </w:r>
            <w:r w:rsidR="00B451D2">
              <w:rPr>
                <w:rFonts w:ascii="Arial" w:hAnsi="Arial" w:cs="Arial"/>
                <w:sz w:val="20"/>
                <w:szCs w:val="20"/>
              </w:rPr>
              <w:t>i</w:t>
            </w:r>
            <w:r>
              <w:rPr>
                <w:rFonts w:ascii="Arial" w:hAnsi="Arial" w:cs="Arial"/>
                <w:sz w:val="20"/>
                <w:szCs w:val="20"/>
              </w:rPr>
              <w:t xml:space="preserve">ndemnity requires </w:t>
            </w:r>
            <w:r w:rsidRPr="00634E17">
              <w:rPr>
                <w:rFonts w:ascii="Arial" w:hAnsi="Arial" w:cs="Arial"/>
                <w:sz w:val="20"/>
                <w:szCs w:val="20"/>
              </w:rPr>
              <w:t xml:space="preserve">parent to </w:t>
            </w:r>
            <w:r>
              <w:rPr>
                <w:rFonts w:ascii="Arial" w:hAnsi="Arial" w:cs="Arial"/>
                <w:sz w:val="20"/>
                <w:szCs w:val="20"/>
              </w:rPr>
              <w:t xml:space="preserve">ensure performance </w:t>
            </w:r>
            <w:r w:rsidR="00E03F1B" w:rsidRPr="006815C1">
              <w:rPr>
                <w:rFonts w:ascii="Arial" w:hAnsi="Arial" w:cs="Arial"/>
                <w:sz w:val="20"/>
                <w:szCs w:val="20"/>
              </w:rPr>
              <w:t>by</w:t>
            </w:r>
            <w:r w:rsidR="00E03F1B">
              <w:rPr>
                <w:rFonts w:ascii="Arial" w:hAnsi="Arial" w:cs="Arial"/>
                <w:sz w:val="20"/>
                <w:szCs w:val="20"/>
              </w:rPr>
              <w:t xml:space="preserve"> </w:t>
            </w:r>
            <w:r>
              <w:rPr>
                <w:rFonts w:ascii="Arial" w:hAnsi="Arial" w:cs="Arial"/>
                <w:sz w:val="20"/>
                <w:szCs w:val="20"/>
              </w:rPr>
              <w:t>contractor.</w:t>
            </w:r>
          </w:p>
        </w:tc>
        <w:tc>
          <w:tcPr>
            <w:tcW w:w="1223" w:type="dxa"/>
            <w:tcBorders>
              <w:top w:val="single" w:sz="8" w:space="0" w:color="000000"/>
              <w:left w:val="single" w:sz="8" w:space="0" w:color="000000"/>
              <w:bottom w:val="single" w:sz="8" w:space="0" w:color="000000"/>
              <w:right w:val="single" w:sz="8" w:space="0" w:color="000000"/>
            </w:tcBorders>
          </w:tcPr>
          <w:p w14:paraId="3548105E" w14:textId="77777777" w:rsidR="00593BBB" w:rsidRPr="00634E17" w:rsidRDefault="00593BBB" w:rsidP="00571A1C">
            <w:pPr>
              <w:pStyle w:val="Default"/>
              <w:spacing w:before="110" w:after="110"/>
              <w:rPr>
                <w:rFonts w:ascii="Arial" w:hAnsi="Arial" w:cs="Arial"/>
                <w:sz w:val="20"/>
                <w:szCs w:val="20"/>
              </w:rPr>
            </w:pPr>
            <w:r w:rsidRPr="00634E17">
              <w:rPr>
                <w:rFonts w:ascii="Arial" w:hAnsi="Arial" w:cs="Arial"/>
                <w:sz w:val="20"/>
                <w:szCs w:val="20"/>
              </w:rPr>
              <w:lastRenderedPageBreak/>
              <w:t xml:space="preserve">Possible </w:t>
            </w:r>
          </w:p>
        </w:tc>
        <w:tc>
          <w:tcPr>
            <w:tcW w:w="1540" w:type="dxa"/>
            <w:tcBorders>
              <w:top w:val="single" w:sz="8" w:space="0" w:color="000000"/>
              <w:left w:val="single" w:sz="8" w:space="0" w:color="000000"/>
              <w:bottom w:val="single" w:sz="8" w:space="0" w:color="000000"/>
              <w:right w:val="single" w:sz="8" w:space="0" w:color="000000"/>
            </w:tcBorders>
          </w:tcPr>
          <w:p w14:paraId="28A8BF17" w14:textId="77777777" w:rsidR="00593BBB" w:rsidRPr="00634E17" w:rsidRDefault="00593BBB" w:rsidP="00571A1C">
            <w:pPr>
              <w:pStyle w:val="Default"/>
              <w:spacing w:before="110" w:after="110"/>
              <w:rPr>
                <w:rFonts w:ascii="Arial" w:hAnsi="Arial" w:cs="Arial"/>
                <w:sz w:val="20"/>
                <w:szCs w:val="20"/>
              </w:rPr>
            </w:pPr>
            <w:r w:rsidRPr="00634E17">
              <w:rPr>
                <w:rFonts w:ascii="Arial" w:hAnsi="Arial" w:cs="Arial"/>
                <w:sz w:val="20"/>
                <w:szCs w:val="20"/>
              </w:rPr>
              <w:t xml:space="preserve">Moderate </w:t>
            </w:r>
          </w:p>
        </w:tc>
        <w:tc>
          <w:tcPr>
            <w:tcW w:w="1078" w:type="dxa"/>
            <w:tcBorders>
              <w:top w:val="single" w:sz="8" w:space="0" w:color="000000"/>
              <w:left w:val="single" w:sz="8" w:space="0" w:color="000000"/>
              <w:bottom w:val="single" w:sz="8" w:space="0" w:color="000000"/>
              <w:right w:val="single" w:sz="8" w:space="0" w:color="000000"/>
            </w:tcBorders>
          </w:tcPr>
          <w:p w14:paraId="6CB7A022" w14:textId="77777777" w:rsidR="00593BBB" w:rsidRPr="00634E17" w:rsidRDefault="00593BBB" w:rsidP="00571A1C">
            <w:pPr>
              <w:pStyle w:val="Default"/>
              <w:spacing w:before="110" w:after="110"/>
              <w:rPr>
                <w:rFonts w:ascii="Arial" w:hAnsi="Arial" w:cs="Arial"/>
                <w:sz w:val="20"/>
                <w:szCs w:val="20"/>
              </w:rPr>
            </w:pPr>
            <w:r w:rsidRPr="00634E17">
              <w:rPr>
                <w:rFonts w:ascii="Arial" w:hAnsi="Arial" w:cs="Arial"/>
                <w:sz w:val="20"/>
                <w:szCs w:val="20"/>
              </w:rPr>
              <w:t xml:space="preserve">Medium </w:t>
            </w:r>
          </w:p>
        </w:tc>
      </w:tr>
      <w:tr w:rsidR="00593BBB" w:rsidRPr="00634E17" w14:paraId="6373A8B5" w14:textId="77777777" w:rsidTr="00871A65">
        <w:tc>
          <w:tcPr>
            <w:tcW w:w="1809" w:type="dxa"/>
            <w:tcBorders>
              <w:top w:val="single" w:sz="8" w:space="0" w:color="000000"/>
              <w:left w:val="single" w:sz="8" w:space="0" w:color="000000"/>
              <w:bottom w:val="single" w:sz="8" w:space="0" w:color="000000"/>
              <w:right w:val="single" w:sz="8" w:space="0" w:color="000000"/>
            </w:tcBorders>
          </w:tcPr>
          <w:p w14:paraId="48596D97" w14:textId="79E21EAE" w:rsidR="00593BBB" w:rsidRDefault="00A30FCC" w:rsidP="00571A1C">
            <w:pPr>
              <w:pStyle w:val="Default"/>
              <w:numPr>
                <w:ilvl w:val="0"/>
                <w:numId w:val="1"/>
              </w:numPr>
              <w:tabs>
                <w:tab w:val="clear" w:pos="720"/>
                <w:tab w:val="left" w:pos="284"/>
              </w:tabs>
              <w:spacing w:before="110" w:after="110"/>
              <w:ind w:left="0" w:firstLine="0"/>
              <w:rPr>
                <w:rFonts w:ascii="Arial" w:hAnsi="Arial" w:cs="Arial"/>
                <w:sz w:val="20"/>
                <w:szCs w:val="20"/>
              </w:rPr>
            </w:pPr>
            <w:r w:rsidRPr="00A30FCC">
              <w:rPr>
                <w:rFonts w:ascii="Arial" w:hAnsi="Arial" w:cs="Arial"/>
                <w:sz w:val="20"/>
                <w:szCs w:val="20"/>
              </w:rPr>
              <w:t>The</w:t>
            </w:r>
            <w:r w:rsidR="00F821D3">
              <w:rPr>
                <w:rFonts w:ascii="Arial" w:hAnsi="Arial" w:cs="Arial"/>
                <w:sz w:val="20"/>
                <w:szCs w:val="20"/>
              </w:rPr>
              <w:t xml:space="preserve"> </w:t>
            </w:r>
            <w:r w:rsidR="00780A2D">
              <w:rPr>
                <w:rFonts w:ascii="Arial" w:hAnsi="Arial" w:cs="Arial"/>
                <w:sz w:val="20"/>
                <w:szCs w:val="20"/>
              </w:rPr>
              <w:t>contractor</w:t>
            </w:r>
            <w:r w:rsidRPr="00A30FCC">
              <w:rPr>
                <w:rFonts w:ascii="Arial" w:hAnsi="Arial" w:cs="Arial"/>
                <w:sz w:val="20"/>
                <w:szCs w:val="20"/>
              </w:rPr>
              <w:t xml:space="preserve"> injures or kills people in the course of performing the contract or as a result of defects in supplies after acceptance</w:t>
            </w:r>
          </w:p>
          <w:p w14:paraId="6969E12E" w14:textId="499479DF" w:rsidR="00050157" w:rsidRPr="00634E17" w:rsidRDefault="00E646AE" w:rsidP="00710532">
            <w:pPr>
              <w:pStyle w:val="NoteToDrafters-ASDEFCON"/>
            </w:pPr>
            <w:r>
              <w:t xml:space="preserve">Note to drafters:  </w:t>
            </w:r>
            <w:r w:rsidR="00050157">
              <w:t xml:space="preserve">Related liability </w:t>
            </w:r>
            <w:r w:rsidR="00710532">
              <w:t>c</w:t>
            </w:r>
            <w:r w:rsidR="00050157">
              <w:t xml:space="preserve">ap – </w:t>
            </w:r>
            <w:r w:rsidR="00710532">
              <w:t xml:space="preserve">none as </w:t>
            </w:r>
            <w:r w:rsidR="00050157">
              <w:t xml:space="preserve">third </w:t>
            </w:r>
            <w:r w:rsidR="00710532">
              <w:t xml:space="preserve">party claims for </w:t>
            </w:r>
            <w:r w:rsidR="00050157">
              <w:t>death</w:t>
            </w:r>
            <w:r w:rsidR="00710532">
              <w:t xml:space="preserve">, </w:t>
            </w:r>
            <w:r w:rsidR="00050157">
              <w:lastRenderedPageBreak/>
              <w:t>personal injury</w:t>
            </w:r>
            <w:r w:rsidR="00710532">
              <w:t>, disease or illness cannot be capped</w:t>
            </w:r>
          </w:p>
        </w:tc>
        <w:tc>
          <w:tcPr>
            <w:tcW w:w="1560" w:type="dxa"/>
            <w:tcBorders>
              <w:top w:val="single" w:sz="8" w:space="0" w:color="000000"/>
              <w:left w:val="single" w:sz="8" w:space="0" w:color="000000"/>
              <w:bottom w:val="single" w:sz="8" w:space="0" w:color="000000"/>
              <w:right w:val="single" w:sz="8" w:space="0" w:color="000000"/>
            </w:tcBorders>
          </w:tcPr>
          <w:p w14:paraId="1DF09EB2" w14:textId="77777777" w:rsidR="00593BBB" w:rsidRDefault="00593BBB" w:rsidP="00481CE6">
            <w:pPr>
              <w:pStyle w:val="Default"/>
              <w:numPr>
                <w:ilvl w:val="0"/>
                <w:numId w:val="27"/>
              </w:numPr>
              <w:spacing w:before="110" w:after="110"/>
              <w:ind w:left="176" w:hanging="142"/>
              <w:rPr>
                <w:rFonts w:ascii="Arial" w:hAnsi="Arial" w:cs="Arial"/>
                <w:sz w:val="20"/>
                <w:szCs w:val="20"/>
              </w:rPr>
            </w:pPr>
            <w:r w:rsidRPr="00634E17">
              <w:rPr>
                <w:rFonts w:ascii="Arial" w:hAnsi="Arial" w:cs="Arial"/>
                <w:sz w:val="20"/>
                <w:szCs w:val="20"/>
              </w:rPr>
              <w:lastRenderedPageBreak/>
              <w:t>Unsafe work practices</w:t>
            </w:r>
          </w:p>
          <w:p w14:paraId="3304C53E" w14:textId="77777777" w:rsidR="00D35785" w:rsidRDefault="00D35785" w:rsidP="00481CE6">
            <w:pPr>
              <w:pStyle w:val="Default"/>
              <w:numPr>
                <w:ilvl w:val="0"/>
                <w:numId w:val="27"/>
              </w:numPr>
              <w:spacing w:before="110" w:after="110"/>
              <w:ind w:left="176" w:hanging="142"/>
              <w:rPr>
                <w:rFonts w:ascii="Arial" w:hAnsi="Arial" w:cs="Arial"/>
                <w:sz w:val="20"/>
                <w:szCs w:val="20"/>
              </w:rPr>
            </w:pPr>
            <w:r>
              <w:rPr>
                <w:rFonts w:ascii="Arial" w:hAnsi="Arial" w:cs="Arial"/>
                <w:sz w:val="20"/>
                <w:szCs w:val="20"/>
              </w:rPr>
              <w:t>Unsafe contractor premises</w:t>
            </w:r>
          </w:p>
          <w:p w14:paraId="590FA64D" w14:textId="77777777" w:rsidR="00593BBB" w:rsidRPr="00634E17" w:rsidRDefault="00593BBB" w:rsidP="00481CE6">
            <w:pPr>
              <w:pStyle w:val="Default"/>
              <w:numPr>
                <w:ilvl w:val="0"/>
                <w:numId w:val="27"/>
              </w:numPr>
              <w:spacing w:before="110" w:after="110"/>
              <w:ind w:left="176" w:hanging="142"/>
              <w:rPr>
                <w:rFonts w:ascii="Arial" w:hAnsi="Arial" w:cs="Arial"/>
                <w:sz w:val="20"/>
                <w:szCs w:val="20"/>
              </w:rPr>
            </w:pPr>
            <w:r w:rsidRPr="00634E17">
              <w:rPr>
                <w:rFonts w:ascii="Arial" w:hAnsi="Arial" w:cs="Arial"/>
                <w:sz w:val="20"/>
                <w:szCs w:val="20"/>
              </w:rPr>
              <w:t xml:space="preserve">Lack of technical expertise in performing the work, leading to defects in supplies </w:t>
            </w:r>
          </w:p>
        </w:tc>
        <w:tc>
          <w:tcPr>
            <w:tcW w:w="1439" w:type="dxa"/>
            <w:tcBorders>
              <w:top w:val="single" w:sz="8" w:space="0" w:color="000000"/>
              <w:left w:val="single" w:sz="8" w:space="0" w:color="000000"/>
              <w:bottom w:val="single" w:sz="8" w:space="0" w:color="000000"/>
              <w:right w:val="single" w:sz="8" w:space="0" w:color="000000"/>
            </w:tcBorders>
          </w:tcPr>
          <w:p w14:paraId="486BBC74" w14:textId="77777777" w:rsidR="00593BBB" w:rsidRPr="00634E17" w:rsidRDefault="00593BBB" w:rsidP="00571A1C">
            <w:pPr>
              <w:pStyle w:val="Default"/>
              <w:spacing w:before="110" w:after="110"/>
              <w:rPr>
                <w:rFonts w:ascii="Arial" w:hAnsi="Arial" w:cs="Arial"/>
                <w:sz w:val="20"/>
                <w:szCs w:val="20"/>
              </w:rPr>
            </w:pPr>
            <w:r w:rsidRPr="00634E17">
              <w:rPr>
                <w:rFonts w:ascii="Arial" w:hAnsi="Arial" w:cs="Arial"/>
                <w:sz w:val="20"/>
                <w:szCs w:val="20"/>
              </w:rPr>
              <w:t xml:space="preserve">Cost </w:t>
            </w:r>
          </w:p>
        </w:tc>
        <w:tc>
          <w:tcPr>
            <w:tcW w:w="2671" w:type="dxa"/>
            <w:tcBorders>
              <w:top w:val="single" w:sz="8" w:space="0" w:color="000000"/>
              <w:left w:val="single" w:sz="8" w:space="0" w:color="000000"/>
              <w:bottom w:val="single" w:sz="8" w:space="0" w:color="000000"/>
              <w:right w:val="single" w:sz="8" w:space="0" w:color="000000"/>
            </w:tcBorders>
          </w:tcPr>
          <w:p w14:paraId="682977DE" w14:textId="77777777" w:rsidR="00593BBB" w:rsidRDefault="00593BBB" w:rsidP="00571A1C">
            <w:pPr>
              <w:pStyle w:val="Default"/>
              <w:spacing w:before="110" w:after="110"/>
              <w:rPr>
                <w:rFonts w:ascii="Arial" w:hAnsi="Arial" w:cs="Arial"/>
                <w:sz w:val="20"/>
                <w:szCs w:val="20"/>
              </w:rPr>
            </w:pPr>
            <w:r w:rsidRPr="00634E17">
              <w:rPr>
                <w:rFonts w:ascii="Arial" w:hAnsi="Arial" w:cs="Arial"/>
                <w:sz w:val="20"/>
                <w:szCs w:val="20"/>
              </w:rPr>
              <w:t xml:space="preserve">Potential claims against the Commonwealth by </w:t>
            </w:r>
            <w:r w:rsidR="00780A2D">
              <w:rPr>
                <w:rFonts w:ascii="Arial" w:hAnsi="Arial" w:cs="Arial"/>
                <w:sz w:val="20"/>
                <w:szCs w:val="20"/>
              </w:rPr>
              <w:t>contractor</w:t>
            </w:r>
            <w:r w:rsidR="00F821D3">
              <w:rPr>
                <w:rFonts w:ascii="Arial" w:hAnsi="Arial" w:cs="Arial"/>
                <w:sz w:val="20"/>
                <w:szCs w:val="20"/>
              </w:rPr>
              <w:t xml:space="preserve"> employees, Commonwealth employees or</w:t>
            </w:r>
            <w:r w:rsidR="00F821D3" w:rsidRPr="00634E17">
              <w:rPr>
                <w:rFonts w:ascii="Arial" w:hAnsi="Arial" w:cs="Arial"/>
                <w:sz w:val="20"/>
                <w:szCs w:val="20"/>
              </w:rPr>
              <w:t xml:space="preserve"> </w:t>
            </w:r>
            <w:r w:rsidRPr="00634E17">
              <w:rPr>
                <w:rFonts w:ascii="Arial" w:hAnsi="Arial" w:cs="Arial"/>
                <w:sz w:val="20"/>
                <w:szCs w:val="20"/>
              </w:rPr>
              <w:t xml:space="preserve">third parties. </w:t>
            </w:r>
          </w:p>
          <w:p w14:paraId="19E875AA" w14:textId="520F6579" w:rsidR="00571A1C" w:rsidRDefault="00E37244" w:rsidP="00571A1C">
            <w:pPr>
              <w:pStyle w:val="Default"/>
              <w:spacing w:before="110" w:after="110"/>
              <w:rPr>
                <w:rFonts w:ascii="Arial" w:hAnsi="Arial" w:cs="Arial"/>
                <w:sz w:val="20"/>
                <w:szCs w:val="20"/>
              </w:rPr>
            </w:pPr>
            <w:r w:rsidRPr="00E37244">
              <w:rPr>
                <w:rFonts w:ascii="Arial" w:hAnsi="Arial" w:cs="Arial"/>
                <w:sz w:val="20"/>
                <w:szCs w:val="20"/>
              </w:rPr>
              <w:t xml:space="preserve">Estimated </w:t>
            </w:r>
            <w:r w:rsidR="00CD6455" w:rsidRPr="00B76080">
              <w:rPr>
                <w:rFonts w:ascii="Arial" w:hAnsi="Arial" w:cs="Arial"/>
                <w:sz w:val="20"/>
                <w:szCs w:val="20"/>
              </w:rPr>
              <w:t>M</w:t>
            </w:r>
            <w:r w:rsidRPr="00B76080">
              <w:rPr>
                <w:rFonts w:ascii="Arial" w:hAnsi="Arial" w:cs="Arial"/>
                <w:sz w:val="20"/>
                <w:szCs w:val="20"/>
              </w:rPr>
              <w:t xml:space="preserve">aximum </w:t>
            </w:r>
            <w:r w:rsidR="00CD6455" w:rsidRPr="00B76080">
              <w:rPr>
                <w:rFonts w:ascii="Arial" w:hAnsi="Arial" w:cs="Arial"/>
                <w:sz w:val="20"/>
                <w:szCs w:val="20"/>
              </w:rPr>
              <w:t>P</w:t>
            </w:r>
            <w:r w:rsidRPr="00B76080">
              <w:rPr>
                <w:rFonts w:ascii="Arial" w:hAnsi="Arial" w:cs="Arial"/>
                <w:sz w:val="20"/>
                <w:szCs w:val="20"/>
              </w:rPr>
              <w:t xml:space="preserve">robable </w:t>
            </w:r>
            <w:r w:rsidR="00CD6455" w:rsidRPr="00B76080">
              <w:rPr>
                <w:rFonts w:ascii="Arial" w:hAnsi="Arial" w:cs="Arial"/>
                <w:sz w:val="20"/>
                <w:szCs w:val="20"/>
              </w:rPr>
              <w:t>L</w:t>
            </w:r>
            <w:r w:rsidRPr="00B76080">
              <w:rPr>
                <w:rFonts w:ascii="Arial" w:hAnsi="Arial" w:cs="Arial"/>
                <w:sz w:val="20"/>
                <w:szCs w:val="20"/>
              </w:rPr>
              <w:t>oss</w:t>
            </w:r>
            <w:r w:rsidRPr="00E37244">
              <w:rPr>
                <w:rFonts w:ascii="Arial" w:hAnsi="Arial" w:cs="Arial"/>
                <w:sz w:val="20"/>
                <w:szCs w:val="20"/>
              </w:rPr>
              <w:t xml:space="preserve"> scenario is 10 people are killed as a result of an accid</w:t>
            </w:r>
            <w:r w:rsidR="00416AE5">
              <w:rPr>
                <w:rFonts w:ascii="Arial" w:hAnsi="Arial" w:cs="Arial"/>
                <w:sz w:val="20"/>
                <w:szCs w:val="20"/>
              </w:rPr>
              <w:t>ent, estimated claims cost of $4</w:t>
            </w:r>
            <w:r w:rsidRPr="00E37244">
              <w:rPr>
                <w:rFonts w:ascii="Arial" w:hAnsi="Arial" w:cs="Arial"/>
                <w:sz w:val="20"/>
                <w:szCs w:val="20"/>
              </w:rPr>
              <w:t>5</w:t>
            </w:r>
            <w:r w:rsidR="00E646AE">
              <w:rPr>
                <w:rFonts w:ascii="Arial" w:hAnsi="Arial" w:cs="Arial"/>
                <w:sz w:val="20"/>
                <w:szCs w:val="20"/>
              </w:rPr>
              <w:t>m</w:t>
            </w:r>
            <w:r w:rsidRPr="00E37244">
              <w:rPr>
                <w:rFonts w:ascii="Arial" w:hAnsi="Arial" w:cs="Arial"/>
                <w:sz w:val="20"/>
                <w:szCs w:val="20"/>
              </w:rPr>
              <w:t xml:space="preserve"> </w:t>
            </w:r>
            <w:r w:rsidRPr="00C15695">
              <w:rPr>
                <w:rFonts w:ascii="Arial" w:hAnsi="Arial" w:cs="Arial"/>
                <w:sz w:val="20"/>
                <w:szCs w:val="20"/>
              </w:rPr>
              <w:t>($</w:t>
            </w:r>
            <w:r w:rsidR="00C15695" w:rsidRPr="00C15695">
              <w:rPr>
                <w:rFonts w:ascii="Arial" w:hAnsi="Arial" w:cs="Arial"/>
                <w:sz w:val="20"/>
                <w:szCs w:val="20"/>
              </w:rPr>
              <w:t>4</w:t>
            </w:r>
            <w:r w:rsidRPr="00C15695">
              <w:rPr>
                <w:rFonts w:ascii="Arial" w:hAnsi="Arial" w:cs="Arial"/>
                <w:sz w:val="20"/>
                <w:szCs w:val="20"/>
              </w:rPr>
              <w:t>.5</w:t>
            </w:r>
            <w:r w:rsidR="00E646AE">
              <w:rPr>
                <w:rFonts w:ascii="Arial" w:hAnsi="Arial" w:cs="Arial"/>
                <w:sz w:val="20"/>
                <w:szCs w:val="20"/>
              </w:rPr>
              <w:t>m</w:t>
            </w:r>
            <w:r w:rsidRPr="00C15695">
              <w:rPr>
                <w:rFonts w:ascii="Arial" w:hAnsi="Arial" w:cs="Arial"/>
                <w:sz w:val="20"/>
                <w:szCs w:val="20"/>
              </w:rPr>
              <w:t xml:space="preserve"> per person</w:t>
            </w:r>
            <w:r w:rsidR="00416AE5">
              <w:rPr>
                <w:rStyle w:val="FootnoteReference"/>
                <w:rFonts w:ascii="Arial" w:hAnsi="Arial" w:cs="Arial"/>
                <w:sz w:val="20"/>
                <w:szCs w:val="20"/>
              </w:rPr>
              <w:footnoteReference w:id="1"/>
            </w:r>
            <w:r w:rsidRPr="00C15695">
              <w:rPr>
                <w:rFonts w:ascii="Arial" w:hAnsi="Arial" w:cs="Arial"/>
                <w:sz w:val="20"/>
                <w:szCs w:val="20"/>
              </w:rPr>
              <w:t>)</w:t>
            </w:r>
            <w:r w:rsidRPr="00E37244">
              <w:rPr>
                <w:rFonts w:ascii="Arial" w:hAnsi="Arial" w:cs="Arial"/>
                <w:sz w:val="20"/>
                <w:szCs w:val="20"/>
              </w:rPr>
              <w:t xml:space="preserve">. </w:t>
            </w:r>
          </w:p>
          <w:p w14:paraId="05F6B176" w14:textId="6D4450B9" w:rsidR="00E37244" w:rsidRPr="00634E17" w:rsidRDefault="00E37244" w:rsidP="00E646AE">
            <w:pPr>
              <w:pStyle w:val="Default"/>
              <w:spacing w:before="110" w:after="110"/>
              <w:rPr>
                <w:rFonts w:ascii="Arial" w:hAnsi="Arial" w:cs="Arial"/>
                <w:sz w:val="20"/>
                <w:szCs w:val="20"/>
              </w:rPr>
            </w:pPr>
            <w:r w:rsidRPr="00E37244">
              <w:rPr>
                <w:rFonts w:ascii="Arial" w:hAnsi="Arial" w:cs="Arial"/>
                <w:sz w:val="20"/>
                <w:szCs w:val="20"/>
              </w:rPr>
              <w:t xml:space="preserve">Legal fees and other Commonwealth </w:t>
            </w:r>
            <w:r w:rsidRPr="00E37244">
              <w:rPr>
                <w:rFonts w:ascii="Arial" w:hAnsi="Arial" w:cs="Arial"/>
                <w:sz w:val="20"/>
                <w:szCs w:val="20"/>
              </w:rPr>
              <w:lastRenderedPageBreak/>
              <w:t>management overheads, estimated cost</w:t>
            </w:r>
            <w:r>
              <w:rPr>
                <w:rFonts w:ascii="Arial" w:hAnsi="Arial" w:cs="Arial"/>
                <w:sz w:val="20"/>
                <w:szCs w:val="20"/>
              </w:rPr>
              <w:t xml:space="preserve"> of $3</w:t>
            </w:r>
            <w:r w:rsidR="00E646AE">
              <w:rPr>
                <w:rFonts w:ascii="Arial" w:hAnsi="Arial" w:cs="Arial"/>
                <w:sz w:val="20"/>
                <w:szCs w:val="20"/>
              </w:rPr>
              <w:t>m</w:t>
            </w:r>
            <w:r>
              <w:rPr>
                <w:rFonts w:ascii="Arial" w:hAnsi="Arial" w:cs="Arial"/>
                <w:sz w:val="20"/>
                <w:szCs w:val="20"/>
              </w:rPr>
              <w:t>.</w:t>
            </w:r>
          </w:p>
        </w:tc>
        <w:tc>
          <w:tcPr>
            <w:tcW w:w="3578" w:type="dxa"/>
            <w:tcBorders>
              <w:top w:val="single" w:sz="8" w:space="0" w:color="000000"/>
              <w:left w:val="single" w:sz="8" w:space="0" w:color="000000"/>
              <w:bottom w:val="single" w:sz="8" w:space="0" w:color="000000"/>
              <w:right w:val="single" w:sz="8" w:space="0" w:color="000000"/>
            </w:tcBorders>
          </w:tcPr>
          <w:p w14:paraId="64029FE8" w14:textId="77777777" w:rsidR="00F83273" w:rsidRPr="006A2F5F" w:rsidRDefault="00593BBB" w:rsidP="00481CE6">
            <w:pPr>
              <w:pStyle w:val="Default"/>
              <w:numPr>
                <w:ilvl w:val="0"/>
                <w:numId w:val="27"/>
              </w:numPr>
              <w:spacing w:before="110" w:after="110"/>
              <w:ind w:left="176" w:hanging="142"/>
              <w:rPr>
                <w:rFonts w:ascii="Arial" w:hAnsi="Arial" w:cs="Arial"/>
                <w:sz w:val="20"/>
                <w:szCs w:val="20"/>
              </w:rPr>
            </w:pPr>
            <w:r w:rsidRPr="00634E17">
              <w:rPr>
                <w:rFonts w:ascii="Arial" w:hAnsi="Arial" w:cs="Arial"/>
                <w:sz w:val="20"/>
                <w:szCs w:val="20"/>
              </w:rPr>
              <w:lastRenderedPageBreak/>
              <w:t>Contract contains indemnit</w:t>
            </w:r>
            <w:r w:rsidR="00F83273">
              <w:rPr>
                <w:rFonts w:ascii="Arial" w:hAnsi="Arial" w:cs="Arial"/>
                <w:sz w:val="20"/>
                <w:szCs w:val="20"/>
              </w:rPr>
              <w:t>ies</w:t>
            </w:r>
            <w:r w:rsidRPr="00634E17">
              <w:rPr>
                <w:rFonts w:ascii="Arial" w:hAnsi="Arial" w:cs="Arial"/>
                <w:sz w:val="20"/>
                <w:szCs w:val="20"/>
              </w:rPr>
              <w:t xml:space="preserve"> from the</w:t>
            </w:r>
            <w:r w:rsidR="00F821D3">
              <w:rPr>
                <w:rFonts w:ascii="Arial" w:hAnsi="Arial" w:cs="Arial"/>
                <w:sz w:val="20"/>
                <w:szCs w:val="20"/>
              </w:rPr>
              <w:t xml:space="preserve"> </w:t>
            </w:r>
            <w:r w:rsidR="00780A2D">
              <w:rPr>
                <w:rFonts w:ascii="Arial" w:hAnsi="Arial" w:cs="Arial"/>
                <w:sz w:val="20"/>
                <w:szCs w:val="20"/>
              </w:rPr>
              <w:t>contractor</w:t>
            </w:r>
            <w:r w:rsidRPr="00634E17">
              <w:rPr>
                <w:rFonts w:ascii="Arial" w:hAnsi="Arial" w:cs="Arial"/>
                <w:sz w:val="20"/>
                <w:szCs w:val="20"/>
              </w:rPr>
              <w:t xml:space="preserve"> in respect of </w:t>
            </w:r>
            <w:r w:rsidR="00F83273">
              <w:rPr>
                <w:rFonts w:ascii="Arial" w:hAnsi="Arial" w:cs="Arial"/>
                <w:sz w:val="20"/>
                <w:szCs w:val="20"/>
              </w:rPr>
              <w:t xml:space="preserve">Commonwealth and </w:t>
            </w:r>
            <w:r w:rsidR="001602F6">
              <w:rPr>
                <w:rFonts w:ascii="Arial" w:hAnsi="Arial" w:cs="Arial"/>
                <w:sz w:val="20"/>
                <w:szCs w:val="20"/>
              </w:rPr>
              <w:t>c</w:t>
            </w:r>
            <w:r w:rsidR="00F83273">
              <w:rPr>
                <w:rFonts w:ascii="Arial" w:hAnsi="Arial" w:cs="Arial"/>
                <w:sz w:val="20"/>
                <w:szCs w:val="20"/>
              </w:rPr>
              <w:t xml:space="preserve">ontractor employees and </w:t>
            </w:r>
            <w:r w:rsidRPr="00634E17">
              <w:rPr>
                <w:rFonts w:ascii="Arial" w:hAnsi="Arial" w:cs="Arial"/>
                <w:sz w:val="20"/>
                <w:szCs w:val="20"/>
              </w:rPr>
              <w:t xml:space="preserve">third party </w:t>
            </w:r>
            <w:r w:rsidR="006A2F5F" w:rsidRPr="0075402F">
              <w:rPr>
                <w:rFonts w:ascii="Arial" w:hAnsi="Arial" w:cs="Arial"/>
                <w:sz w:val="20"/>
                <w:szCs w:val="20"/>
              </w:rPr>
              <w:t>death or</w:t>
            </w:r>
            <w:r w:rsidR="006A2F5F">
              <w:rPr>
                <w:rFonts w:ascii="Arial" w:hAnsi="Arial" w:cs="Arial"/>
                <w:sz w:val="20"/>
                <w:szCs w:val="20"/>
              </w:rPr>
              <w:t xml:space="preserve"> </w:t>
            </w:r>
            <w:r w:rsidRPr="00634E17">
              <w:rPr>
                <w:rFonts w:ascii="Arial" w:hAnsi="Arial" w:cs="Arial"/>
                <w:sz w:val="20"/>
                <w:szCs w:val="20"/>
              </w:rPr>
              <w:t>personal injury</w:t>
            </w:r>
            <w:r w:rsidR="001A2F47">
              <w:rPr>
                <w:rFonts w:ascii="Arial" w:hAnsi="Arial" w:cs="Arial"/>
                <w:sz w:val="20"/>
                <w:szCs w:val="20"/>
              </w:rPr>
              <w:t>.</w:t>
            </w:r>
          </w:p>
          <w:p w14:paraId="53BD6F48" w14:textId="71193453" w:rsidR="00593BBB" w:rsidRPr="00974271" w:rsidRDefault="001A2F47" w:rsidP="00481CE6">
            <w:pPr>
              <w:pStyle w:val="Default"/>
              <w:numPr>
                <w:ilvl w:val="0"/>
                <w:numId w:val="27"/>
              </w:numPr>
              <w:spacing w:before="110" w:after="110"/>
              <w:ind w:left="176" w:hanging="142"/>
              <w:rPr>
                <w:rFonts w:ascii="Arial" w:hAnsi="Arial" w:cs="Arial"/>
                <w:sz w:val="20"/>
                <w:szCs w:val="20"/>
              </w:rPr>
            </w:pPr>
            <w:r w:rsidRPr="0075402F">
              <w:rPr>
                <w:rFonts w:ascii="Arial" w:hAnsi="Arial" w:cs="Arial"/>
                <w:sz w:val="20"/>
                <w:szCs w:val="20"/>
              </w:rPr>
              <w:t xml:space="preserve">Liability </w:t>
            </w:r>
            <w:r w:rsidR="00C9620C" w:rsidRPr="00974271">
              <w:rPr>
                <w:rFonts w:ascii="Arial" w:hAnsi="Arial" w:cs="Arial"/>
                <w:sz w:val="20"/>
                <w:szCs w:val="20"/>
              </w:rPr>
              <w:t>is uncapped</w:t>
            </w:r>
            <w:r w:rsidR="00593BBB" w:rsidRPr="00974271">
              <w:rPr>
                <w:rFonts w:ascii="Arial" w:hAnsi="Arial" w:cs="Arial"/>
                <w:sz w:val="20"/>
                <w:szCs w:val="20"/>
              </w:rPr>
              <w:t xml:space="preserve">. </w:t>
            </w:r>
          </w:p>
          <w:p w14:paraId="2562FB7E" w14:textId="77777777" w:rsidR="00593BBB" w:rsidRPr="00634E17" w:rsidRDefault="00593BBB" w:rsidP="00481CE6">
            <w:pPr>
              <w:pStyle w:val="Default"/>
              <w:numPr>
                <w:ilvl w:val="0"/>
                <w:numId w:val="27"/>
              </w:numPr>
              <w:spacing w:before="110" w:after="110"/>
              <w:ind w:left="176" w:hanging="142"/>
              <w:rPr>
                <w:rFonts w:ascii="Arial" w:hAnsi="Arial" w:cs="Arial"/>
                <w:sz w:val="20"/>
                <w:szCs w:val="20"/>
              </w:rPr>
            </w:pPr>
            <w:r w:rsidRPr="00634E17">
              <w:rPr>
                <w:rFonts w:ascii="Arial" w:hAnsi="Arial" w:cs="Arial"/>
                <w:sz w:val="20"/>
                <w:szCs w:val="20"/>
              </w:rPr>
              <w:t>Contract requires</w:t>
            </w:r>
            <w:r w:rsidR="00F821D3">
              <w:rPr>
                <w:rFonts w:ascii="Arial" w:hAnsi="Arial" w:cs="Arial"/>
                <w:sz w:val="20"/>
                <w:szCs w:val="20"/>
              </w:rPr>
              <w:t xml:space="preserve"> </w:t>
            </w:r>
            <w:r w:rsidR="00780A2D">
              <w:rPr>
                <w:rFonts w:ascii="Arial" w:hAnsi="Arial" w:cs="Arial"/>
                <w:sz w:val="20"/>
                <w:szCs w:val="20"/>
              </w:rPr>
              <w:t>contractor</w:t>
            </w:r>
            <w:r w:rsidRPr="00634E17">
              <w:rPr>
                <w:rFonts w:ascii="Arial" w:hAnsi="Arial" w:cs="Arial"/>
                <w:sz w:val="20"/>
                <w:szCs w:val="20"/>
              </w:rPr>
              <w:t xml:space="preserve"> to have insurance. </w:t>
            </w:r>
          </w:p>
          <w:p w14:paraId="6156DE8C" w14:textId="77777777" w:rsidR="00014181" w:rsidRDefault="00593BBB" w:rsidP="00481CE6">
            <w:pPr>
              <w:pStyle w:val="Default"/>
              <w:numPr>
                <w:ilvl w:val="0"/>
                <w:numId w:val="27"/>
              </w:numPr>
              <w:spacing w:before="110" w:after="110"/>
              <w:ind w:left="176" w:hanging="142"/>
              <w:rPr>
                <w:rFonts w:ascii="Arial" w:hAnsi="Arial" w:cs="Arial"/>
                <w:sz w:val="20"/>
                <w:szCs w:val="20"/>
              </w:rPr>
            </w:pPr>
            <w:r w:rsidRPr="00634E17">
              <w:rPr>
                <w:rFonts w:ascii="Arial" w:hAnsi="Arial" w:cs="Arial"/>
                <w:sz w:val="20"/>
                <w:szCs w:val="20"/>
              </w:rPr>
              <w:t xml:space="preserve">Contractor required to be appropriately licensed and </w:t>
            </w:r>
            <w:r w:rsidR="00323CA7">
              <w:rPr>
                <w:rFonts w:ascii="Arial" w:hAnsi="Arial" w:cs="Arial"/>
                <w:sz w:val="20"/>
                <w:szCs w:val="20"/>
              </w:rPr>
              <w:t>comply with</w:t>
            </w:r>
            <w:r w:rsidR="00323CA7" w:rsidRPr="00634E17">
              <w:rPr>
                <w:rFonts w:ascii="Arial" w:hAnsi="Arial" w:cs="Arial"/>
                <w:sz w:val="20"/>
                <w:szCs w:val="20"/>
              </w:rPr>
              <w:t xml:space="preserve"> </w:t>
            </w:r>
            <w:r>
              <w:rPr>
                <w:rFonts w:ascii="Arial" w:hAnsi="Arial" w:cs="Arial"/>
                <w:sz w:val="20"/>
                <w:szCs w:val="20"/>
              </w:rPr>
              <w:t>WHS</w:t>
            </w:r>
            <w:r w:rsidRPr="00634E17">
              <w:rPr>
                <w:rFonts w:ascii="Arial" w:hAnsi="Arial" w:cs="Arial"/>
                <w:sz w:val="20"/>
                <w:szCs w:val="20"/>
              </w:rPr>
              <w:t xml:space="preserve"> requirements</w:t>
            </w:r>
            <w:r>
              <w:rPr>
                <w:rFonts w:ascii="Arial" w:hAnsi="Arial" w:cs="Arial"/>
                <w:sz w:val="20"/>
                <w:szCs w:val="20"/>
              </w:rPr>
              <w:t>.</w:t>
            </w:r>
          </w:p>
          <w:p w14:paraId="5CA48F87" w14:textId="77777777" w:rsidR="00014181" w:rsidRPr="00634E17" w:rsidRDefault="00014181" w:rsidP="00481CE6">
            <w:pPr>
              <w:pStyle w:val="Default"/>
              <w:numPr>
                <w:ilvl w:val="0"/>
                <w:numId w:val="27"/>
              </w:numPr>
              <w:spacing w:before="110" w:after="110"/>
              <w:ind w:left="176" w:hanging="142"/>
              <w:rPr>
                <w:rFonts w:ascii="Arial" w:hAnsi="Arial" w:cs="Arial"/>
                <w:sz w:val="20"/>
                <w:szCs w:val="20"/>
              </w:rPr>
            </w:pPr>
            <w:r>
              <w:rPr>
                <w:rFonts w:ascii="Arial" w:hAnsi="Arial" w:cs="Arial"/>
                <w:sz w:val="20"/>
                <w:szCs w:val="20"/>
              </w:rPr>
              <w:lastRenderedPageBreak/>
              <w:t xml:space="preserve">Contract includes obligations to comply with safety procedures while on Commonwealth </w:t>
            </w:r>
            <w:r w:rsidR="00780A2D">
              <w:rPr>
                <w:rFonts w:ascii="Arial" w:hAnsi="Arial" w:cs="Arial"/>
                <w:sz w:val="20"/>
                <w:szCs w:val="20"/>
              </w:rPr>
              <w:t>property</w:t>
            </w:r>
            <w:r w:rsidR="00E37244">
              <w:rPr>
                <w:rFonts w:ascii="Arial" w:hAnsi="Arial" w:cs="Arial"/>
                <w:sz w:val="20"/>
                <w:szCs w:val="20"/>
              </w:rPr>
              <w:t>.</w:t>
            </w:r>
          </w:p>
          <w:p w14:paraId="302312BF" w14:textId="77777777" w:rsidR="00593BBB" w:rsidRPr="00634E17" w:rsidRDefault="00014181" w:rsidP="00481CE6">
            <w:pPr>
              <w:pStyle w:val="Default"/>
              <w:numPr>
                <w:ilvl w:val="0"/>
                <w:numId w:val="27"/>
              </w:numPr>
              <w:spacing w:before="110" w:after="110"/>
              <w:ind w:left="176" w:hanging="142"/>
              <w:rPr>
                <w:rFonts w:ascii="Arial" w:hAnsi="Arial" w:cs="Arial"/>
                <w:sz w:val="20"/>
                <w:szCs w:val="20"/>
              </w:rPr>
            </w:pPr>
            <w:r w:rsidRPr="00634E17">
              <w:rPr>
                <w:rFonts w:ascii="Arial" w:hAnsi="Arial" w:cs="Arial"/>
                <w:sz w:val="20"/>
                <w:szCs w:val="20"/>
              </w:rPr>
              <w:t xml:space="preserve">Tender </w:t>
            </w:r>
            <w:r w:rsidR="00C963D5">
              <w:rPr>
                <w:rFonts w:ascii="Arial" w:hAnsi="Arial" w:cs="Arial"/>
                <w:sz w:val="20"/>
                <w:szCs w:val="20"/>
              </w:rPr>
              <w:t>allows</w:t>
            </w:r>
            <w:r w:rsidRPr="00634E17">
              <w:rPr>
                <w:rFonts w:ascii="Arial" w:hAnsi="Arial" w:cs="Arial"/>
                <w:sz w:val="20"/>
                <w:szCs w:val="20"/>
              </w:rPr>
              <w:t xml:space="preserve"> evaluat</w:t>
            </w:r>
            <w:r w:rsidR="00C963D5">
              <w:rPr>
                <w:rFonts w:ascii="Arial" w:hAnsi="Arial" w:cs="Arial"/>
                <w:sz w:val="20"/>
                <w:szCs w:val="20"/>
              </w:rPr>
              <w:t>ion of</w:t>
            </w:r>
            <w:r w:rsidRPr="00634E17">
              <w:rPr>
                <w:rFonts w:ascii="Arial" w:hAnsi="Arial" w:cs="Arial"/>
                <w:sz w:val="20"/>
                <w:szCs w:val="20"/>
              </w:rPr>
              <w:t xml:space="preserve"> proposed </w:t>
            </w:r>
            <w:r w:rsidR="00A867B9">
              <w:rPr>
                <w:rFonts w:ascii="Arial" w:hAnsi="Arial" w:cs="Arial"/>
                <w:sz w:val="20"/>
                <w:szCs w:val="20"/>
              </w:rPr>
              <w:t>system safety plan.</w:t>
            </w:r>
            <w:r w:rsidRPr="00634E17">
              <w:rPr>
                <w:rFonts w:ascii="Arial" w:hAnsi="Arial" w:cs="Arial"/>
                <w:sz w:val="20"/>
                <w:szCs w:val="20"/>
              </w:rPr>
              <w:t xml:space="preserve"> </w:t>
            </w:r>
          </w:p>
        </w:tc>
        <w:tc>
          <w:tcPr>
            <w:tcW w:w="1223" w:type="dxa"/>
            <w:tcBorders>
              <w:top w:val="single" w:sz="8" w:space="0" w:color="000000"/>
              <w:left w:val="single" w:sz="8" w:space="0" w:color="000000"/>
              <w:bottom w:val="single" w:sz="8" w:space="0" w:color="000000"/>
              <w:right w:val="single" w:sz="8" w:space="0" w:color="000000"/>
            </w:tcBorders>
          </w:tcPr>
          <w:p w14:paraId="4C930805" w14:textId="77777777" w:rsidR="00593BBB" w:rsidRPr="00634E17" w:rsidRDefault="00C963D5" w:rsidP="00571A1C">
            <w:pPr>
              <w:pStyle w:val="Default"/>
              <w:spacing w:before="110" w:after="110"/>
              <w:rPr>
                <w:rFonts w:ascii="Arial" w:hAnsi="Arial" w:cs="Arial"/>
                <w:sz w:val="20"/>
                <w:szCs w:val="20"/>
              </w:rPr>
            </w:pPr>
            <w:r>
              <w:rPr>
                <w:rFonts w:ascii="Arial" w:hAnsi="Arial" w:cs="Arial"/>
                <w:sz w:val="20"/>
                <w:szCs w:val="20"/>
              </w:rPr>
              <w:lastRenderedPageBreak/>
              <w:t>Rare</w:t>
            </w:r>
            <w:r w:rsidR="00593BBB" w:rsidRPr="00634E17">
              <w:rPr>
                <w:rFonts w:ascii="Arial" w:hAnsi="Arial" w:cs="Arial"/>
                <w:sz w:val="20"/>
                <w:szCs w:val="20"/>
              </w:rPr>
              <w:t xml:space="preserve"> </w:t>
            </w:r>
          </w:p>
        </w:tc>
        <w:tc>
          <w:tcPr>
            <w:tcW w:w="1540" w:type="dxa"/>
            <w:tcBorders>
              <w:top w:val="single" w:sz="8" w:space="0" w:color="000000"/>
              <w:left w:val="single" w:sz="8" w:space="0" w:color="000000"/>
              <w:bottom w:val="single" w:sz="8" w:space="0" w:color="000000"/>
              <w:right w:val="single" w:sz="8" w:space="0" w:color="000000"/>
            </w:tcBorders>
          </w:tcPr>
          <w:p w14:paraId="3FA79177" w14:textId="77777777" w:rsidR="00593BBB" w:rsidRPr="00634E17" w:rsidRDefault="00C963D5" w:rsidP="00571A1C">
            <w:pPr>
              <w:pStyle w:val="Default"/>
              <w:spacing w:before="110" w:after="110"/>
              <w:rPr>
                <w:rFonts w:ascii="Arial" w:hAnsi="Arial" w:cs="Arial"/>
                <w:sz w:val="20"/>
                <w:szCs w:val="20"/>
              </w:rPr>
            </w:pPr>
            <w:r>
              <w:rPr>
                <w:rFonts w:ascii="Arial" w:hAnsi="Arial" w:cs="Arial"/>
                <w:sz w:val="20"/>
                <w:szCs w:val="20"/>
              </w:rPr>
              <w:t>Moderate</w:t>
            </w:r>
            <w:r w:rsidR="00593BBB" w:rsidRPr="00634E17">
              <w:rPr>
                <w:rFonts w:ascii="Arial" w:hAnsi="Arial" w:cs="Arial"/>
                <w:sz w:val="20"/>
                <w:szCs w:val="20"/>
              </w:rPr>
              <w:t xml:space="preserve"> </w:t>
            </w:r>
          </w:p>
        </w:tc>
        <w:tc>
          <w:tcPr>
            <w:tcW w:w="1078" w:type="dxa"/>
            <w:tcBorders>
              <w:top w:val="single" w:sz="8" w:space="0" w:color="000000"/>
              <w:left w:val="single" w:sz="8" w:space="0" w:color="000000"/>
              <w:bottom w:val="single" w:sz="8" w:space="0" w:color="000000"/>
              <w:right w:val="single" w:sz="8" w:space="0" w:color="000000"/>
            </w:tcBorders>
          </w:tcPr>
          <w:p w14:paraId="1A84606B" w14:textId="77777777" w:rsidR="00593BBB" w:rsidRPr="00634E17" w:rsidRDefault="00C963D5" w:rsidP="00571A1C">
            <w:pPr>
              <w:pStyle w:val="Default"/>
              <w:spacing w:before="110" w:after="110"/>
              <w:rPr>
                <w:rFonts w:ascii="Arial" w:hAnsi="Arial" w:cs="Arial"/>
                <w:sz w:val="20"/>
                <w:szCs w:val="20"/>
              </w:rPr>
            </w:pPr>
            <w:r>
              <w:rPr>
                <w:rFonts w:ascii="Arial" w:hAnsi="Arial" w:cs="Arial"/>
                <w:sz w:val="20"/>
                <w:szCs w:val="20"/>
              </w:rPr>
              <w:t>Low</w:t>
            </w:r>
            <w:r w:rsidR="00593BBB" w:rsidRPr="00634E17">
              <w:rPr>
                <w:rFonts w:ascii="Arial" w:hAnsi="Arial" w:cs="Arial"/>
                <w:sz w:val="20"/>
                <w:szCs w:val="20"/>
              </w:rPr>
              <w:t xml:space="preserve"> </w:t>
            </w:r>
          </w:p>
        </w:tc>
      </w:tr>
      <w:tr w:rsidR="002310C8" w:rsidRPr="00634E17" w14:paraId="652B0D08" w14:textId="77777777" w:rsidTr="00871A65">
        <w:tc>
          <w:tcPr>
            <w:tcW w:w="1809" w:type="dxa"/>
            <w:tcBorders>
              <w:top w:val="single" w:sz="8" w:space="0" w:color="000000"/>
              <w:left w:val="single" w:sz="8" w:space="0" w:color="000000"/>
              <w:bottom w:val="single" w:sz="8" w:space="0" w:color="000000"/>
              <w:right w:val="single" w:sz="8" w:space="0" w:color="000000"/>
            </w:tcBorders>
          </w:tcPr>
          <w:p w14:paraId="4C31F6A9" w14:textId="77777777" w:rsidR="002310C8" w:rsidRDefault="002310C8" w:rsidP="00571A1C">
            <w:pPr>
              <w:pStyle w:val="Title"/>
              <w:numPr>
                <w:ilvl w:val="0"/>
                <w:numId w:val="1"/>
              </w:numPr>
              <w:tabs>
                <w:tab w:val="clear" w:pos="720"/>
                <w:tab w:val="left" w:pos="284"/>
              </w:tabs>
              <w:spacing w:before="110" w:after="110"/>
              <w:ind w:left="0" w:firstLine="0"/>
              <w:jc w:val="left"/>
              <w:rPr>
                <w:rFonts w:eastAsia="Times New Roman" w:cs="Arial"/>
                <w:b w:val="0"/>
                <w:color w:val="000000"/>
                <w:sz w:val="20"/>
                <w:szCs w:val="20"/>
                <w:lang w:eastAsia="en-AU"/>
              </w:rPr>
            </w:pPr>
            <w:r w:rsidRPr="00780A2D">
              <w:rPr>
                <w:rFonts w:eastAsia="Times New Roman" w:cs="Arial"/>
                <w:b w:val="0"/>
                <w:color w:val="000000"/>
                <w:sz w:val="20"/>
                <w:szCs w:val="20"/>
                <w:lang w:eastAsia="en-AU"/>
              </w:rPr>
              <w:t xml:space="preserve">The </w:t>
            </w:r>
            <w:r>
              <w:rPr>
                <w:rFonts w:eastAsia="Times New Roman" w:cs="Arial"/>
                <w:b w:val="0"/>
                <w:color w:val="000000"/>
                <w:sz w:val="20"/>
                <w:szCs w:val="20"/>
                <w:lang w:eastAsia="en-AU"/>
              </w:rPr>
              <w:t>contractor</w:t>
            </w:r>
            <w:r w:rsidRPr="00780A2D">
              <w:rPr>
                <w:rFonts w:eastAsia="Times New Roman" w:cs="Arial"/>
                <w:b w:val="0"/>
                <w:color w:val="000000"/>
                <w:sz w:val="20"/>
                <w:szCs w:val="20"/>
                <w:lang w:eastAsia="en-AU"/>
              </w:rPr>
              <w:t xml:space="preserve"> loses or damages </w:t>
            </w:r>
            <w:r>
              <w:rPr>
                <w:rFonts w:eastAsia="Times New Roman" w:cs="Arial"/>
                <w:b w:val="0"/>
                <w:color w:val="000000"/>
                <w:sz w:val="20"/>
                <w:szCs w:val="20"/>
                <w:lang w:eastAsia="en-AU"/>
              </w:rPr>
              <w:t>supplies</w:t>
            </w:r>
            <w:r w:rsidRPr="00780A2D">
              <w:rPr>
                <w:rFonts w:eastAsia="Times New Roman" w:cs="Arial"/>
                <w:b w:val="0"/>
                <w:color w:val="000000"/>
                <w:sz w:val="20"/>
                <w:szCs w:val="20"/>
                <w:lang w:eastAsia="en-AU"/>
              </w:rPr>
              <w:t xml:space="preserve"> owned by the Commonwealth</w:t>
            </w:r>
            <w:r w:rsidR="007831BE">
              <w:rPr>
                <w:rFonts w:eastAsia="Times New Roman" w:cs="Arial"/>
                <w:b w:val="0"/>
                <w:color w:val="000000"/>
                <w:sz w:val="20"/>
                <w:szCs w:val="20"/>
                <w:lang w:eastAsia="en-AU"/>
              </w:rPr>
              <w:t xml:space="preserve"> in the course of performing the contract</w:t>
            </w:r>
          </w:p>
          <w:p w14:paraId="382C801E" w14:textId="3609F2A2" w:rsidR="00D462F0" w:rsidRDefault="00E646AE" w:rsidP="00AF1BD9">
            <w:pPr>
              <w:pStyle w:val="NoteToDrafters-ASDEFCON"/>
            </w:pPr>
            <w:r>
              <w:t>Note</w:t>
            </w:r>
            <w:r w:rsidR="00D462F0">
              <w:t>s</w:t>
            </w:r>
            <w:r>
              <w:t xml:space="preserve"> to drafters:  </w:t>
            </w:r>
            <w:r w:rsidR="00050157">
              <w:t xml:space="preserve">Related liability </w:t>
            </w:r>
            <w:r w:rsidR="00AF1BD9">
              <w:t>c</w:t>
            </w:r>
            <w:r w:rsidR="00050157">
              <w:t xml:space="preserve">ap – loss of or damage to </w:t>
            </w:r>
            <w:r w:rsidR="00A22B45">
              <w:t>s</w:t>
            </w:r>
            <w:r w:rsidR="00050157">
              <w:t>upplies</w:t>
            </w:r>
            <w:r w:rsidR="00A16EE6">
              <w:t>.</w:t>
            </w:r>
            <w:r w:rsidR="00050157">
              <w:t xml:space="preserve"> </w:t>
            </w:r>
          </w:p>
          <w:p w14:paraId="671C1EAA" w14:textId="2A61F670" w:rsidR="00050157" w:rsidRPr="00A30FCC" w:rsidRDefault="00F24557" w:rsidP="00D913EC">
            <w:pPr>
              <w:pStyle w:val="NoteToDrafters-ASDEFCON"/>
              <w:rPr>
                <w:rFonts w:cs="Arial"/>
                <w:color w:val="000000"/>
                <w:szCs w:val="20"/>
              </w:rPr>
            </w:pPr>
            <w:r>
              <w:t xml:space="preserve">Loss </w:t>
            </w:r>
            <w:r w:rsidR="00050157">
              <w:t xml:space="preserve">of use of </w:t>
            </w:r>
            <w:r w:rsidR="00AF1BD9">
              <w:t xml:space="preserve">supplies </w:t>
            </w:r>
            <w:r>
              <w:t xml:space="preserve">is not to be captured </w:t>
            </w:r>
            <w:r w:rsidR="00AF1BD9">
              <w:t xml:space="preserve">here as </w:t>
            </w:r>
            <w:r w:rsidR="00D462F0">
              <w:t xml:space="preserve">that risk </w:t>
            </w:r>
            <w:r w:rsidR="00AF1BD9">
              <w:t>is captured above under Risk 2</w:t>
            </w:r>
            <w:r w:rsidR="00D462F0">
              <w:t>.</w:t>
            </w:r>
          </w:p>
        </w:tc>
        <w:tc>
          <w:tcPr>
            <w:tcW w:w="1560" w:type="dxa"/>
            <w:tcBorders>
              <w:top w:val="single" w:sz="8" w:space="0" w:color="000000"/>
              <w:left w:val="single" w:sz="8" w:space="0" w:color="000000"/>
              <w:bottom w:val="single" w:sz="8" w:space="0" w:color="000000"/>
              <w:right w:val="single" w:sz="8" w:space="0" w:color="000000"/>
            </w:tcBorders>
          </w:tcPr>
          <w:p w14:paraId="3CD143B6" w14:textId="77777777" w:rsidR="002310C8" w:rsidRDefault="002310C8" w:rsidP="00481CE6">
            <w:pPr>
              <w:pStyle w:val="Default"/>
              <w:numPr>
                <w:ilvl w:val="0"/>
                <w:numId w:val="27"/>
              </w:numPr>
              <w:spacing w:before="110" w:after="110"/>
              <w:ind w:left="176" w:hanging="142"/>
              <w:rPr>
                <w:rFonts w:ascii="Arial" w:hAnsi="Arial" w:cs="Arial"/>
                <w:sz w:val="20"/>
                <w:szCs w:val="20"/>
              </w:rPr>
            </w:pPr>
            <w:r w:rsidRPr="00634E17">
              <w:rPr>
                <w:rFonts w:ascii="Arial" w:hAnsi="Arial" w:cs="Arial"/>
                <w:sz w:val="20"/>
                <w:szCs w:val="20"/>
              </w:rPr>
              <w:t>Unsafe work practices</w:t>
            </w:r>
          </w:p>
          <w:p w14:paraId="431F82CC" w14:textId="77777777" w:rsidR="00D35785" w:rsidRDefault="00D35785" w:rsidP="00481CE6">
            <w:pPr>
              <w:pStyle w:val="Default"/>
              <w:numPr>
                <w:ilvl w:val="0"/>
                <w:numId w:val="27"/>
              </w:numPr>
              <w:spacing w:before="110" w:after="110"/>
              <w:ind w:left="176" w:hanging="142"/>
              <w:rPr>
                <w:rFonts w:ascii="Arial" w:hAnsi="Arial" w:cs="Arial"/>
                <w:sz w:val="20"/>
                <w:szCs w:val="20"/>
              </w:rPr>
            </w:pPr>
            <w:r>
              <w:rPr>
                <w:rFonts w:ascii="Arial" w:hAnsi="Arial" w:cs="Arial"/>
                <w:sz w:val="20"/>
                <w:szCs w:val="20"/>
              </w:rPr>
              <w:t>Inadequate or unsafe contractor storage facilities</w:t>
            </w:r>
            <w:r w:rsidR="004128C1">
              <w:rPr>
                <w:rFonts w:ascii="Arial" w:hAnsi="Arial" w:cs="Arial"/>
                <w:sz w:val="20"/>
                <w:szCs w:val="20"/>
              </w:rPr>
              <w:t xml:space="preserve"> </w:t>
            </w:r>
          </w:p>
          <w:p w14:paraId="2AE9923E" w14:textId="77777777" w:rsidR="004128C1" w:rsidRDefault="004128C1" w:rsidP="00481CE6">
            <w:pPr>
              <w:pStyle w:val="Default"/>
              <w:numPr>
                <w:ilvl w:val="0"/>
                <w:numId w:val="27"/>
              </w:numPr>
              <w:spacing w:before="110" w:after="110"/>
              <w:ind w:left="176" w:hanging="142"/>
              <w:rPr>
                <w:rFonts w:ascii="Arial" w:hAnsi="Arial" w:cs="Arial"/>
                <w:sz w:val="20"/>
                <w:szCs w:val="20"/>
              </w:rPr>
            </w:pPr>
            <w:r>
              <w:rPr>
                <w:rFonts w:ascii="Arial" w:hAnsi="Arial" w:cs="Arial"/>
                <w:sz w:val="20"/>
                <w:szCs w:val="20"/>
              </w:rPr>
              <w:t>Inadequate or unsafe contractor transport practices</w:t>
            </w:r>
          </w:p>
          <w:p w14:paraId="5D9C2EF6" w14:textId="77777777" w:rsidR="002310C8" w:rsidRDefault="002310C8" w:rsidP="00481CE6">
            <w:pPr>
              <w:pStyle w:val="Default"/>
              <w:numPr>
                <w:ilvl w:val="0"/>
                <w:numId w:val="27"/>
              </w:numPr>
              <w:spacing w:before="110" w:after="110"/>
              <w:ind w:left="176" w:hanging="142"/>
              <w:rPr>
                <w:rFonts w:ascii="Arial" w:hAnsi="Arial" w:cs="Arial"/>
                <w:sz w:val="20"/>
                <w:szCs w:val="20"/>
              </w:rPr>
            </w:pPr>
            <w:r w:rsidRPr="00634E17">
              <w:rPr>
                <w:rFonts w:ascii="Arial" w:hAnsi="Arial" w:cs="Arial"/>
                <w:sz w:val="20"/>
                <w:szCs w:val="20"/>
              </w:rPr>
              <w:t>Lack of technical expertise in performing the work</w:t>
            </w:r>
          </w:p>
          <w:p w14:paraId="4BC2766C" w14:textId="7FA7F20D" w:rsidR="00E25AF1" w:rsidRPr="00634E17" w:rsidRDefault="00864451" w:rsidP="00481CE6">
            <w:pPr>
              <w:pStyle w:val="Default"/>
              <w:numPr>
                <w:ilvl w:val="0"/>
                <w:numId w:val="27"/>
              </w:numPr>
              <w:spacing w:before="110" w:after="110"/>
              <w:ind w:left="176" w:hanging="142"/>
              <w:rPr>
                <w:rFonts w:ascii="Arial" w:hAnsi="Arial" w:cs="Arial"/>
                <w:sz w:val="20"/>
                <w:szCs w:val="20"/>
              </w:rPr>
            </w:pPr>
            <w:r>
              <w:rPr>
                <w:rFonts w:ascii="Arial" w:hAnsi="Arial" w:cs="Arial"/>
                <w:sz w:val="20"/>
                <w:szCs w:val="20"/>
              </w:rPr>
              <w:t xml:space="preserve">Accidents </w:t>
            </w:r>
            <w:r w:rsidR="001342F0">
              <w:rPr>
                <w:rFonts w:ascii="Arial" w:hAnsi="Arial" w:cs="Arial"/>
                <w:sz w:val="20"/>
                <w:szCs w:val="20"/>
              </w:rPr>
              <w:t>etc.</w:t>
            </w:r>
            <w:r>
              <w:rPr>
                <w:rFonts w:ascii="Arial" w:hAnsi="Arial" w:cs="Arial"/>
                <w:sz w:val="20"/>
                <w:szCs w:val="20"/>
              </w:rPr>
              <w:t xml:space="preserve"> and n</w:t>
            </w:r>
            <w:r w:rsidR="00E25AF1">
              <w:rPr>
                <w:rFonts w:ascii="Arial" w:hAnsi="Arial" w:cs="Arial"/>
                <w:sz w:val="20"/>
                <w:szCs w:val="20"/>
              </w:rPr>
              <w:t>atural disasters</w:t>
            </w:r>
          </w:p>
        </w:tc>
        <w:tc>
          <w:tcPr>
            <w:tcW w:w="1439" w:type="dxa"/>
            <w:tcBorders>
              <w:top w:val="single" w:sz="8" w:space="0" w:color="000000"/>
              <w:left w:val="single" w:sz="8" w:space="0" w:color="000000"/>
              <w:bottom w:val="single" w:sz="8" w:space="0" w:color="000000"/>
              <w:right w:val="single" w:sz="8" w:space="0" w:color="000000"/>
            </w:tcBorders>
          </w:tcPr>
          <w:p w14:paraId="7E45EC04" w14:textId="77777777" w:rsidR="002310C8" w:rsidRPr="00014181" w:rsidRDefault="002310C8" w:rsidP="00571A1C">
            <w:pPr>
              <w:pStyle w:val="Title"/>
              <w:spacing w:before="110" w:after="110"/>
              <w:jc w:val="left"/>
              <w:rPr>
                <w:rFonts w:eastAsia="Times New Roman" w:cs="Arial"/>
                <w:b w:val="0"/>
                <w:color w:val="000000"/>
                <w:sz w:val="20"/>
                <w:szCs w:val="20"/>
                <w:lang w:eastAsia="en-AU"/>
              </w:rPr>
            </w:pPr>
            <w:r>
              <w:rPr>
                <w:rFonts w:eastAsia="Times New Roman" w:cs="Arial"/>
                <w:b w:val="0"/>
                <w:color w:val="000000"/>
                <w:sz w:val="20"/>
                <w:szCs w:val="20"/>
                <w:lang w:eastAsia="en-AU"/>
              </w:rPr>
              <w:t>Cost</w:t>
            </w:r>
          </w:p>
        </w:tc>
        <w:tc>
          <w:tcPr>
            <w:tcW w:w="2671" w:type="dxa"/>
            <w:tcBorders>
              <w:top w:val="single" w:sz="8" w:space="0" w:color="000000"/>
              <w:left w:val="single" w:sz="8" w:space="0" w:color="000000"/>
              <w:bottom w:val="single" w:sz="8" w:space="0" w:color="000000"/>
              <w:right w:val="single" w:sz="8" w:space="0" w:color="000000"/>
            </w:tcBorders>
          </w:tcPr>
          <w:p w14:paraId="5B7C4D0A" w14:textId="77777777" w:rsidR="002310C8" w:rsidRPr="005A25A2" w:rsidRDefault="00972295" w:rsidP="00571A1C">
            <w:pPr>
              <w:pStyle w:val="Default"/>
              <w:spacing w:before="110" w:after="110"/>
              <w:rPr>
                <w:rFonts w:ascii="Arial" w:hAnsi="Arial" w:cs="Arial"/>
                <w:sz w:val="20"/>
                <w:szCs w:val="20"/>
              </w:rPr>
            </w:pPr>
            <w:r>
              <w:rPr>
                <w:rFonts w:ascii="Arial" w:hAnsi="Arial" w:cs="Arial"/>
                <w:sz w:val="20"/>
                <w:szCs w:val="20"/>
              </w:rPr>
              <w:t xml:space="preserve">Cost </w:t>
            </w:r>
            <w:r w:rsidR="002310C8">
              <w:rPr>
                <w:rFonts w:ascii="Arial" w:hAnsi="Arial" w:cs="Arial"/>
                <w:sz w:val="20"/>
                <w:szCs w:val="20"/>
              </w:rPr>
              <w:t xml:space="preserve">for </w:t>
            </w:r>
            <w:r w:rsidR="002310C8" w:rsidRPr="003B5832">
              <w:rPr>
                <w:rFonts w:ascii="Arial" w:hAnsi="Arial" w:cs="Arial"/>
                <w:sz w:val="20"/>
                <w:szCs w:val="20"/>
              </w:rPr>
              <w:t xml:space="preserve">loss of or damage to supplies owned by the Commonwealth </w:t>
            </w:r>
            <w:r w:rsidRPr="003B5832">
              <w:rPr>
                <w:rFonts w:ascii="Arial" w:hAnsi="Arial" w:cs="Arial"/>
                <w:sz w:val="20"/>
                <w:szCs w:val="20"/>
              </w:rPr>
              <w:t>(other than loss of use of the supplies)</w:t>
            </w:r>
            <w:r w:rsidRPr="00EE3349">
              <w:rPr>
                <w:rFonts w:ascii="Arial" w:hAnsi="Arial" w:cs="Arial"/>
                <w:b/>
                <w:sz w:val="20"/>
                <w:szCs w:val="20"/>
              </w:rPr>
              <w:t xml:space="preserve"> </w:t>
            </w:r>
            <w:r w:rsidR="002A10DE">
              <w:rPr>
                <w:rFonts w:ascii="Arial" w:hAnsi="Arial" w:cs="Arial"/>
                <w:sz w:val="20"/>
                <w:szCs w:val="20"/>
              </w:rPr>
              <w:t xml:space="preserve">estimated at </w:t>
            </w:r>
            <w:r w:rsidR="00406DE2" w:rsidRPr="00E81346">
              <w:rPr>
                <w:rFonts w:ascii="Arial" w:hAnsi="Arial" w:cs="Arial"/>
                <w:sz w:val="20"/>
                <w:szCs w:val="20"/>
              </w:rPr>
              <w:t>M</w:t>
            </w:r>
            <w:r w:rsidR="002A10DE" w:rsidRPr="00E81346">
              <w:rPr>
                <w:rFonts w:ascii="Arial" w:hAnsi="Arial" w:cs="Arial"/>
                <w:sz w:val="20"/>
                <w:szCs w:val="20"/>
              </w:rPr>
              <w:t xml:space="preserve">aximum </w:t>
            </w:r>
            <w:r w:rsidR="00CD6455" w:rsidRPr="00E81346">
              <w:rPr>
                <w:rFonts w:ascii="Arial" w:hAnsi="Arial" w:cs="Arial"/>
                <w:sz w:val="20"/>
                <w:szCs w:val="20"/>
              </w:rPr>
              <w:t>P</w:t>
            </w:r>
            <w:r w:rsidR="002A10DE" w:rsidRPr="00E81346">
              <w:rPr>
                <w:rFonts w:ascii="Arial" w:hAnsi="Arial" w:cs="Arial"/>
                <w:sz w:val="20"/>
                <w:szCs w:val="20"/>
              </w:rPr>
              <w:t xml:space="preserve">robable </w:t>
            </w:r>
            <w:r w:rsidR="00CD6455" w:rsidRPr="00E81346">
              <w:rPr>
                <w:rFonts w:ascii="Arial" w:hAnsi="Arial" w:cs="Arial"/>
                <w:sz w:val="20"/>
                <w:szCs w:val="20"/>
              </w:rPr>
              <w:t>L</w:t>
            </w:r>
            <w:r w:rsidR="002A10DE" w:rsidRPr="00E81346">
              <w:rPr>
                <w:rFonts w:ascii="Arial" w:hAnsi="Arial" w:cs="Arial"/>
                <w:sz w:val="20"/>
                <w:szCs w:val="20"/>
              </w:rPr>
              <w:t>oss</w:t>
            </w:r>
            <w:r w:rsidR="002A10DE">
              <w:rPr>
                <w:rFonts w:ascii="Arial" w:hAnsi="Arial" w:cs="Arial"/>
                <w:sz w:val="20"/>
                <w:szCs w:val="20"/>
              </w:rPr>
              <w:t xml:space="preserve"> of half the total number of supplies ($50m).</w:t>
            </w:r>
            <w:r w:rsidR="002310C8" w:rsidRPr="00E27B8F">
              <w:rPr>
                <w:rFonts w:ascii="Arial" w:hAnsi="Arial" w:cs="Arial"/>
                <w:sz w:val="20"/>
                <w:szCs w:val="20"/>
              </w:rPr>
              <w:t xml:space="preserve"> </w:t>
            </w:r>
          </w:p>
        </w:tc>
        <w:tc>
          <w:tcPr>
            <w:tcW w:w="3578" w:type="dxa"/>
            <w:tcBorders>
              <w:top w:val="single" w:sz="8" w:space="0" w:color="000000"/>
              <w:left w:val="single" w:sz="8" w:space="0" w:color="000000"/>
              <w:bottom w:val="single" w:sz="8" w:space="0" w:color="000000"/>
              <w:right w:val="single" w:sz="8" w:space="0" w:color="000000"/>
            </w:tcBorders>
          </w:tcPr>
          <w:p w14:paraId="4AA44E93" w14:textId="77777777" w:rsidR="002310C8" w:rsidRDefault="002310C8" w:rsidP="00481CE6">
            <w:pPr>
              <w:pStyle w:val="Default"/>
              <w:numPr>
                <w:ilvl w:val="0"/>
                <w:numId w:val="27"/>
              </w:numPr>
              <w:spacing w:before="110" w:after="110"/>
              <w:ind w:left="176" w:hanging="142"/>
              <w:rPr>
                <w:rFonts w:ascii="Arial" w:hAnsi="Arial" w:cs="Arial"/>
                <w:sz w:val="20"/>
                <w:szCs w:val="20"/>
              </w:rPr>
            </w:pPr>
            <w:r w:rsidRPr="00634E17">
              <w:rPr>
                <w:rFonts w:ascii="Arial" w:hAnsi="Arial" w:cs="Arial"/>
                <w:sz w:val="20"/>
                <w:szCs w:val="20"/>
              </w:rPr>
              <w:t xml:space="preserve">Tender </w:t>
            </w:r>
            <w:r w:rsidR="00E25AF1">
              <w:rPr>
                <w:rFonts w:ascii="Arial" w:hAnsi="Arial" w:cs="Arial"/>
                <w:sz w:val="20"/>
                <w:szCs w:val="20"/>
              </w:rPr>
              <w:t>allows for</w:t>
            </w:r>
            <w:r w:rsidRPr="00634E17">
              <w:rPr>
                <w:rFonts w:ascii="Arial" w:hAnsi="Arial" w:cs="Arial"/>
                <w:sz w:val="20"/>
                <w:szCs w:val="20"/>
              </w:rPr>
              <w:t xml:space="preserve"> evaluat</w:t>
            </w:r>
            <w:r w:rsidR="00E25AF1">
              <w:rPr>
                <w:rFonts w:ascii="Arial" w:hAnsi="Arial" w:cs="Arial"/>
                <w:sz w:val="20"/>
                <w:szCs w:val="20"/>
              </w:rPr>
              <w:t>ion of</w:t>
            </w:r>
            <w:r w:rsidRPr="00634E17">
              <w:rPr>
                <w:rFonts w:ascii="Arial" w:hAnsi="Arial" w:cs="Arial"/>
                <w:sz w:val="20"/>
                <w:szCs w:val="20"/>
              </w:rPr>
              <w:t xml:space="preserve"> </w:t>
            </w:r>
            <w:r>
              <w:rPr>
                <w:rFonts w:ascii="Arial" w:hAnsi="Arial" w:cs="Arial"/>
                <w:sz w:val="20"/>
                <w:szCs w:val="20"/>
              </w:rPr>
              <w:t>skills and experience of the ke</w:t>
            </w:r>
            <w:r w:rsidR="00E25AF1">
              <w:rPr>
                <w:rFonts w:ascii="Arial" w:hAnsi="Arial" w:cs="Arial"/>
                <w:sz w:val="20"/>
                <w:szCs w:val="20"/>
              </w:rPr>
              <w:t>y personnel.</w:t>
            </w:r>
          </w:p>
          <w:p w14:paraId="1C67445B" w14:textId="77777777" w:rsidR="00E25AF1" w:rsidRDefault="00E25AF1" w:rsidP="00481CE6">
            <w:pPr>
              <w:pStyle w:val="Default"/>
              <w:numPr>
                <w:ilvl w:val="0"/>
                <w:numId w:val="27"/>
              </w:numPr>
              <w:spacing w:before="110" w:after="110"/>
              <w:ind w:left="176" w:hanging="142"/>
              <w:rPr>
                <w:rFonts w:ascii="Arial" w:hAnsi="Arial" w:cs="Arial"/>
                <w:sz w:val="20"/>
                <w:szCs w:val="20"/>
              </w:rPr>
            </w:pPr>
            <w:r w:rsidRPr="00634E17">
              <w:rPr>
                <w:rFonts w:ascii="Arial" w:hAnsi="Arial" w:cs="Arial"/>
                <w:sz w:val="20"/>
                <w:szCs w:val="20"/>
              </w:rPr>
              <w:t>Contract requires</w:t>
            </w:r>
            <w:r>
              <w:rPr>
                <w:rFonts w:ascii="Arial" w:hAnsi="Arial" w:cs="Arial"/>
                <w:sz w:val="20"/>
                <w:szCs w:val="20"/>
              </w:rPr>
              <w:t xml:space="preserve"> contractor</w:t>
            </w:r>
            <w:r w:rsidRPr="00634E17">
              <w:rPr>
                <w:rFonts w:ascii="Arial" w:hAnsi="Arial" w:cs="Arial"/>
                <w:sz w:val="20"/>
                <w:szCs w:val="20"/>
              </w:rPr>
              <w:t xml:space="preserve"> to have insurance. </w:t>
            </w:r>
          </w:p>
          <w:p w14:paraId="40B62090" w14:textId="77777777" w:rsidR="00864451" w:rsidRDefault="00864451" w:rsidP="00481CE6">
            <w:pPr>
              <w:pStyle w:val="Default"/>
              <w:numPr>
                <w:ilvl w:val="0"/>
                <w:numId w:val="27"/>
              </w:numPr>
              <w:spacing w:before="110" w:after="110"/>
              <w:ind w:left="176" w:hanging="142"/>
              <w:rPr>
                <w:rFonts w:ascii="Arial" w:hAnsi="Arial" w:cs="Arial"/>
                <w:sz w:val="20"/>
                <w:szCs w:val="20"/>
              </w:rPr>
            </w:pPr>
            <w:r>
              <w:rPr>
                <w:rFonts w:ascii="Arial" w:hAnsi="Arial" w:cs="Arial"/>
                <w:sz w:val="20"/>
                <w:szCs w:val="20"/>
              </w:rPr>
              <w:t>Contractor has a</w:t>
            </w:r>
            <w:r w:rsidRPr="00864451">
              <w:rPr>
                <w:rFonts w:ascii="Arial" w:hAnsi="Arial" w:cs="Arial"/>
                <w:sz w:val="20"/>
                <w:szCs w:val="20"/>
              </w:rPr>
              <w:t>ppropriate systems to minimise accidental loss and damage, theft, fire etc</w:t>
            </w:r>
            <w:r>
              <w:rPr>
                <w:rFonts w:ascii="Arial" w:hAnsi="Arial" w:cs="Arial"/>
                <w:sz w:val="20"/>
                <w:szCs w:val="20"/>
              </w:rPr>
              <w:t>.</w:t>
            </w:r>
          </w:p>
          <w:p w14:paraId="260C156C" w14:textId="77777777" w:rsidR="00FE7D19" w:rsidRDefault="00FE7D19" w:rsidP="00481CE6">
            <w:pPr>
              <w:pStyle w:val="Default"/>
              <w:numPr>
                <w:ilvl w:val="0"/>
                <w:numId w:val="27"/>
              </w:numPr>
              <w:spacing w:before="110" w:after="110"/>
              <w:ind w:left="176" w:hanging="142"/>
              <w:rPr>
                <w:rFonts w:ascii="Arial" w:hAnsi="Arial" w:cs="Arial"/>
                <w:sz w:val="20"/>
                <w:szCs w:val="20"/>
              </w:rPr>
            </w:pPr>
            <w:r>
              <w:rPr>
                <w:rFonts w:ascii="Arial" w:hAnsi="Arial" w:cs="Arial"/>
                <w:sz w:val="20"/>
                <w:szCs w:val="20"/>
              </w:rPr>
              <w:t xml:space="preserve">Contractor has risk of supplies </w:t>
            </w:r>
            <w:r w:rsidR="00F8699A">
              <w:rPr>
                <w:rFonts w:ascii="Arial" w:hAnsi="Arial" w:cs="Arial"/>
                <w:sz w:val="20"/>
                <w:szCs w:val="20"/>
              </w:rPr>
              <w:t xml:space="preserve">prior to delivery and after delivery if contractor retakes </w:t>
            </w:r>
            <w:r>
              <w:rPr>
                <w:rFonts w:ascii="Arial" w:hAnsi="Arial" w:cs="Arial"/>
                <w:sz w:val="20"/>
                <w:szCs w:val="20"/>
              </w:rPr>
              <w:t>possession.</w:t>
            </w:r>
          </w:p>
          <w:p w14:paraId="389E934C" w14:textId="28662F42" w:rsidR="002310C8" w:rsidRPr="00122DCA" w:rsidRDefault="00122DCA" w:rsidP="00481CE6">
            <w:pPr>
              <w:pStyle w:val="Default"/>
              <w:numPr>
                <w:ilvl w:val="0"/>
                <w:numId w:val="27"/>
              </w:numPr>
              <w:spacing w:before="110" w:after="110"/>
              <w:ind w:left="176" w:hanging="142"/>
              <w:rPr>
                <w:rFonts w:ascii="Arial" w:hAnsi="Arial" w:cs="Arial"/>
                <w:sz w:val="20"/>
                <w:szCs w:val="20"/>
              </w:rPr>
            </w:pPr>
            <w:r w:rsidRPr="00122DCA">
              <w:rPr>
                <w:rFonts w:ascii="Arial" w:hAnsi="Arial" w:cs="Arial"/>
                <w:sz w:val="20"/>
                <w:szCs w:val="20"/>
              </w:rPr>
              <w:t xml:space="preserve">Contractor liable for loss or damage caused by </w:t>
            </w:r>
            <w:r w:rsidR="003C3D2F">
              <w:rPr>
                <w:rFonts w:ascii="Arial" w:hAnsi="Arial" w:cs="Arial"/>
                <w:sz w:val="20"/>
                <w:szCs w:val="20"/>
              </w:rPr>
              <w:t>d</w:t>
            </w:r>
            <w:r w:rsidRPr="00122DCA">
              <w:rPr>
                <w:rFonts w:ascii="Arial" w:hAnsi="Arial" w:cs="Arial"/>
                <w:sz w:val="20"/>
                <w:szCs w:val="20"/>
              </w:rPr>
              <w:t xml:space="preserve">efects during </w:t>
            </w:r>
            <w:r w:rsidR="00B451D2">
              <w:rPr>
                <w:rFonts w:ascii="Arial" w:hAnsi="Arial" w:cs="Arial"/>
                <w:sz w:val="20"/>
                <w:szCs w:val="20"/>
              </w:rPr>
              <w:t>d</w:t>
            </w:r>
            <w:r w:rsidRPr="00122DCA">
              <w:rPr>
                <w:rFonts w:ascii="Arial" w:hAnsi="Arial" w:cs="Arial"/>
                <w:sz w:val="20"/>
                <w:szCs w:val="20"/>
              </w:rPr>
              <w:t xml:space="preserve">efect </w:t>
            </w:r>
            <w:r w:rsidR="00B451D2">
              <w:rPr>
                <w:rFonts w:ascii="Arial" w:hAnsi="Arial" w:cs="Arial"/>
                <w:sz w:val="20"/>
                <w:szCs w:val="20"/>
              </w:rPr>
              <w:t>r</w:t>
            </w:r>
            <w:r w:rsidRPr="00122DCA">
              <w:rPr>
                <w:rFonts w:ascii="Arial" w:hAnsi="Arial" w:cs="Arial"/>
                <w:sz w:val="20"/>
                <w:szCs w:val="20"/>
              </w:rPr>
              <w:t xml:space="preserve">ectification </w:t>
            </w:r>
            <w:r w:rsidR="00B451D2">
              <w:rPr>
                <w:rFonts w:ascii="Arial" w:hAnsi="Arial" w:cs="Arial"/>
                <w:sz w:val="20"/>
                <w:szCs w:val="20"/>
              </w:rPr>
              <w:t>p</w:t>
            </w:r>
            <w:r w:rsidRPr="00122DCA">
              <w:rPr>
                <w:rFonts w:ascii="Arial" w:hAnsi="Arial" w:cs="Arial"/>
                <w:sz w:val="20"/>
                <w:szCs w:val="20"/>
              </w:rPr>
              <w:t>eriod</w:t>
            </w:r>
            <w:r w:rsidR="00394BA5">
              <w:rPr>
                <w:rFonts w:ascii="Arial" w:hAnsi="Arial" w:cs="Arial"/>
                <w:sz w:val="20"/>
                <w:szCs w:val="20"/>
              </w:rPr>
              <w:t xml:space="preserve"> or </w:t>
            </w:r>
            <w:r w:rsidR="004677CB" w:rsidRPr="006815C1">
              <w:rPr>
                <w:rFonts w:ascii="Arial" w:hAnsi="Arial" w:cs="Arial"/>
                <w:sz w:val="20"/>
                <w:szCs w:val="20"/>
              </w:rPr>
              <w:t>caused</w:t>
            </w:r>
            <w:r w:rsidR="004677CB">
              <w:rPr>
                <w:rFonts w:ascii="Arial" w:hAnsi="Arial" w:cs="Arial"/>
                <w:sz w:val="20"/>
                <w:szCs w:val="20"/>
              </w:rPr>
              <w:t xml:space="preserve"> </w:t>
            </w:r>
            <w:r w:rsidR="00394BA5">
              <w:rPr>
                <w:rFonts w:ascii="Arial" w:hAnsi="Arial" w:cs="Arial"/>
                <w:sz w:val="20"/>
                <w:szCs w:val="20"/>
              </w:rPr>
              <w:t xml:space="preserve">by </w:t>
            </w:r>
            <w:r w:rsidR="004128C1">
              <w:rPr>
                <w:rFonts w:ascii="Arial" w:hAnsi="Arial" w:cs="Arial"/>
                <w:sz w:val="20"/>
                <w:szCs w:val="20"/>
              </w:rPr>
              <w:t>c</w:t>
            </w:r>
            <w:r w:rsidR="00D35785">
              <w:rPr>
                <w:rFonts w:ascii="Arial" w:hAnsi="Arial" w:cs="Arial"/>
                <w:sz w:val="20"/>
                <w:szCs w:val="20"/>
              </w:rPr>
              <w:t xml:space="preserve">ontractor </w:t>
            </w:r>
            <w:r w:rsidR="00B451D2">
              <w:rPr>
                <w:rFonts w:ascii="Arial" w:hAnsi="Arial" w:cs="Arial"/>
                <w:sz w:val="20"/>
                <w:szCs w:val="20"/>
              </w:rPr>
              <w:t>d</w:t>
            </w:r>
            <w:r w:rsidR="00457D10">
              <w:rPr>
                <w:rFonts w:ascii="Arial" w:hAnsi="Arial" w:cs="Arial"/>
                <w:sz w:val="20"/>
                <w:szCs w:val="20"/>
              </w:rPr>
              <w:t xml:space="preserve">efault </w:t>
            </w:r>
            <w:r w:rsidR="00D35785">
              <w:rPr>
                <w:rFonts w:ascii="Arial" w:hAnsi="Arial" w:cs="Arial"/>
                <w:sz w:val="20"/>
                <w:szCs w:val="20"/>
              </w:rPr>
              <w:t xml:space="preserve">after </w:t>
            </w:r>
            <w:r w:rsidR="003C3D2F">
              <w:rPr>
                <w:rFonts w:ascii="Arial" w:hAnsi="Arial" w:cs="Arial"/>
                <w:sz w:val="20"/>
                <w:szCs w:val="20"/>
              </w:rPr>
              <w:t>d</w:t>
            </w:r>
            <w:r w:rsidR="00D35785">
              <w:rPr>
                <w:rFonts w:ascii="Arial" w:hAnsi="Arial" w:cs="Arial"/>
                <w:sz w:val="20"/>
                <w:szCs w:val="20"/>
              </w:rPr>
              <w:t xml:space="preserve">efect </w:t>
            </w:r>
            <w:r w:rsidR="003C3D2F">
              <w:rPr>
                <w:rFonts w:ascii="Arial" w:hAnsi="Arial" w:cs="Arial"/>
                <w:sz w:val="20"/>
                <w:szCs w:val="20"/>
              </w:rPr>
              <w:t>r</w:t>
            </w:r>
            <w:r w:rsidR="00D35785">
              <w:rPr>
                <w:rFonts w:ascii="Arial" w:hAnsi="Arial" w:cs="Arial"/>
                <w:sz w:val="20"/>
                <w:szCs w:val="20"/>
              </w:rPr>
              <w:t xml:space="preserve">ectification </w:t>
            </w:r>
            <w:r w:rsidR="003C3D2F">
              <w:rPr>
                <w:rFonts w:ascii="Arial" w:hAnsi="Arial" w:cs="Arial"/>
                <w:sz w:val="20"/>
                <w:szCs w:val="20"/>
              </w:rPr>
              <w:t>p</w:t>
            </w:r>
            <w:r w:rsidR="00D35785">
              <w:rPr>
                <w:rFonts w:ascii="Arial" w:hAnsi="Arial" w:cs="Arial"/>
                <w:sz w:val="20"/>
                <w:szCs w:val="20"/>
              </w:rPr>
              <w:t>eriod</w:t>
            </w:r>
            <w:r w:rsidRPr="00122DCA">
              <w:rPr>
                <w:rFonts w:ascii="Arial" w:hAnsi="Arial" w:cs="Arial"/>
                <w:sz w:val="20"/>
                <w:szCs w:val="20"/>
              </w:rPr>
              <w:t>.</w:t>
            </w:r>
            <w:r>
              <w:t xml:space="preserve"> </w:t>
            </w:r>
          </w:p>
        </w:tc>
        <w:tc>
          <w:tcPr>
            <w:tcW w:w="1223" w:type="dxa"/>
            <w:tcBorders>
              <w:top w:val="single" w:sz="8" w:space="0" w:color="000000"/>
              <w:left w:val="single" w:sz="8" w:space="0" w:color="000000"/>
              <w:bottom w:val="single" w:sz="8" w:space="0" w:color="000000"/>
              <w:right w:val="single" w:sz="8" w:space="0" w:color="000000"/>
            </w:tcBorders>
          </w:tcPr>
          <w:p w14:paraId="368593E4" w14:textId="77777777" w:rsidR="002310C8" w:rsidRPr="00634E17" w:rsidRDefault="008560E8" w:rsidP="00571A1C">
            <w:pPr>
              <w:pStyle w:val="Default"/>
              <w:spacing w:before="110" w:after="110"/>
              <w:rPr>
                <w:rFonts w:ascii="Arial" w:hAnsi="Arial" w:cs="Arial"/>
                <w:sz w:val="20"/>
                <w:szCs w:val="20"/>
              </w:rPr>
            </w:pPr>
            <w:r>
              <w:rPr>
                <w:rFonts w:ascii="Arial" w:hAnsi="Arial" w:cs="Arial"/>
                <w:sz w:val="20"/>
                <w:szCs w:val="20"/>
              </w:rPr>
              <w:t>Unlikely</w:t>
            </w:r>
            <w:r w:rsidR="002310C8" w:rsidRPr="00634E17">
              <w:rPr>
                <w:rFonts w:ascii="Arial" w:hAnsi="Arial" w:cs="Arial"/>
                <w:sz w:val="20"/>
                <w:szCs w:val="20"/>
              </w:rPr>
              <w:t xml:space="preserve"> </w:t>
            </w:r>
          </w:p>
        </w:tc>
        <w:tc>
          <w:tcPr>
            <w:tcW w:w="1540" w:type="dxa"/>
            <w:tcBorders>
              <w:top w:val="single" w:sz="8" w:space="0" w:color="000000"/>
              <w:left w:val="single" w:sz="8" w:space="0" w:color="000000"/>
              <w:bottom w:val="single" w:sz="8" w:space="0" w:color="000000"/>
              <w:right w:val="single" w:sz="8" w:space="0" w:color="000000"/>
            </w:tcBorders>
          </w:tcPr>
          <w:p w14:paraId="3D875E08" w14:textId="77777777" w:rsidR="002310C8" w:rsidRPr="00634E17" w:rsidRDefault="008560E8" w:rsidP="00571A1C">
            <w:pPr>
              <w:pStyle w:val="Default"/>
              <w:spacing w:before="110" w:after="110"/>
              <w:rPr>
                <w:rFonts w:ascii="Arial" w:hAnsi="Arial" w:cs="Arial"/>
                <w:sz w:val="20"/>
                <w:szCs w:val="20"/>
              </w:rPr>
            </w:pPr>
            <w:r>
              <w:rPr>
                <w:rFonts w:ascii="Arial" w:hAnsi="Arial" w:cs="Arial"/>
                <w:sz w:val="20"/>
                <w:szCs w:val="20"/>
              </w:rPr>
              <w:t>Major</w:t>
            </w:r>
            <w:r w:rsidR="002310C8" w:rsidRPr="00634E17">
              <w:rPr>
                <w:rFonts w:ascii="Arial" w:hAnsi="Arial" w:cs="Arial"/>
                <w:sz w:val="20"/>
                <w:szCs w:val="20"/>
              </w:rPr>
              <w:t xml:space="preserve"> </w:t>
            </w:r>
          </w:p>
        </w:tc>
        <w:tc>
          <w:tcPr>
            <w:tcW w:w="1078" w:type="dxa"/>
            <w:tcBorders>
              <w:top w:val="single" w:sz="8" w:space="0" w:color="000000"/>
              <w:left w:val="single" w:sz="8" w:space="0" w:color="000000"/>
              <w:bottom w:val="single" w:sz="8" w:space="0" w:color="000000"/>
              <w:right w:val="single" w:sz="8" w:space="0" w:color="000000"/>
            </w:tcBorders>
          </w:tcPr>
          <w:p w14:paraId="0D2F2855" w14:textId="77777777" w:rsidR="002310C8" w:rsidRPr="00634E17" w:rsidRDefault="008560E8" w:rsidP="00571A1C">
            <w:pPr>
              <w:pStyle w:val="Default"/>
              <w:spacing w:before="110" w:after="110"/>
              <w:rPr>
                <w:rFonts w:ascii="Arial" w:hAnsi="Arial" w:cs="Arial"/>
                <w:sz w:val="20"/>
                <w:szCs w:val="20"/>
              </w:rPr>
            </w:pPr>
            <w:r>
              <w:rPr>
                <w:rFonts w:ascii="Arial" w:hAnsi="Arial" w:cs="Arial"/>
                <w:sz w:val="20"/>
                <w:szCs w:val="20"/>
              </w:rPr>
              <w:t>Medium</w:t>
            </w:r>
            <w:r w:rsidR="002310C8" w:rsidRPr="00634E17">
              <w:rPr>
                <w:rFonts w:ascii="Arial" w:hAnsi="Arial" w:cs="Arial"/>
                <w:sz w:val="20"/>
                <w:szCs w:val="20"/>
              </w:rPr>
              <w:t xml:space="preserve"> </w:t>
            </w:r>
          </w:p>
        </w:tc>
      </w:tr>
      <w:tr w:rsidR="008560E8" w:rsidRPr="00634E17" w14:paraId="059646D5" w14:textId="77777777" w:rsidTr="00871A65">
        <w:tc>
          <w:tcPr>
            <w:tcW w:w="1809" w:type="dxa"/>
            <w:tcBorders>
              <w:top w:val="single" w:sz="8" w:space="0" w:color="000000"/>
              <w:left w:val="single" w:sz="8" w:space="0" w:color="000000"/>
              <w:bottom w:val="single" w:sz="8" w:space="0" w:color="000000"/>
              <w:right w:val="single" w:sz="8" w:space="0" w:color="000000"/>
            </w:tcBorders>
          </w:tcPr>
          <w:p w14:paraId="1FBD363F" w14:textId="77777777" w:rsidR="008560E8" w:rsidRPr="00A87178" w:rsidRDefault="008560E8" w:rsidP="00571A1C">
            <w:pPr>
              <w:pStyle w:val="Title"/>
              <w:numPr>
                <w:ilvl w:val="0"/>
                <w:numId w:val="1"/>
              </w:numPr>
              <w:tabs>
                <w:tab w:val="clear" w:pos="720"/>
                <w:tab w:val="left" w:pos="284"/>
              </w:tabs>
              <w:spacing w:before="110" w:after="110"/>
              <w:ind w:left="0" w:firstLine="0"/>
              <w:jc w:val="left"/>
              <w:rPr>
                <w:rFonts w:cs="Arial"/>
                <w:b w:val="0"/>
                <w:sz w:val="20"/>
                <w:szCs w:val="20"/>
              </w:rPr>
            </w:pPr>
            <w:r w:rsidRPr="00A30FCC">
              <w:rPr>
                <w:rFonts w:eastAsia="Times New Roman" w:cs="Arial"/>
                <w:b w:val="0"/>
                <w:color w:val="000000"/>
                <w:sz w:val="20"/>
                <w:szCs w:val="20"/>
                <w:lang w:eastAsia="en-AU"/>
              </w:rPr>
              <w:lastRenderedPageBreak/>
              <w:t xml:space="preserve">The </w:t>
            </w:r>
            <w:r>
              <w:rPr>
                <w:rFonts w:eastAsia="Times New Roman" w:cs="Arial"/>
                <w:b w:val="0"/>
                <w:color w:val="000000"/>
                <w:sz w:val="20"/>
                <w:szCs w:val="20"/>
                <w:lang w:eastAsia="en-AU"/>
              </w:rPr>
              <w:t>contractor</w:t>
            </w:r>
            <w:r w:rsidRPr="00A30FCC">
              <w:rPr>
                <w:rFonts w:eastAsia="Times New Roman" w:cs="Arial"/>
                <w:b w:val="0"/>
                <w:color w:val="000000"/>
                <w:sz w:val="20"/>
                <w:szCs w:val="20"/>
                <w:lang w:eastAsia="en-AU"/>
              </w:rPr>
              <w:t xml:space="preserve"> loses or damages Defence </w:t>
            </w:r>
            <w:r>
              <w:rPr>
                <w:rFonts w:eastAsia="Times New Roman" w:cs="Arial"/>
                <w:b w:val="0"/>
                <w:color w:val="000000"/>
                <w:sz w:val="20"/>
                <w:szCs w:val="20"/>
                <w:lang w:eastAsia="en-AU"/>
              </w:rPr>
              <w:t>property</w:t>
            </w:r>
            <w:r w:rsidRPr="00A30FCC">
              <w:rPr>
                <w:rFonts w:eastAsia="Times New Roman" w:cs="Arial"/>
                <w:b w:val="0"/>
                <w:color w:val="000000"/>
                <w:sz w:val="20"/>
                <w:szCs w:val="20"/>
                <w:lang w:eastAsia="en-AU"/>
              </w:rPr>
              <w:t xml:space="preserve"> (other than </w:t>
            </w:r>
            <w:r>
              <w:rPr>
                <w:rFonts w:eastAsia="Times New Roman" w:cs="Arial"/>
                <w:b w:val="0"/>
                <w:color w:val="000000"/>
                <w:sz w:val="20"/>
                <w:szCs w:val="20"/>
                <w:lang w:eastAsia="en-AU"/>
              </w:rPr>
              <w:t>supplies</w:t>
            </w:r>
            <w:r w:rsidRPr="00A30FCC">
              <w:rPr>
                <w:rFonts w:eastAsia="Times New Roman" w:cs="Arial"/>
                <w:b w:val="0"/>
                <w:color w:val="000000"/>
                <w:sz w:val="20"/>
                <w:szCs w:val="20"/>
                <w:lang w:eastAsia="en-AU"/>
              </w:rPr>
              <w:t>)</w:t>
            </w:r>
            <w:r w:rsidR="007831BE">
              <w:rPr>
                <w:rFonts w:eastAsia="Times New Roman" w:cs="Arial"/>
                <w:b w:val="0"/>
                <w:color w:val="000000"/>
                <w:sz w:val="20"/>
                <w:szCs w:val="20"/>
                <w:lang w:eastAsia="en-AU"/>
              </w:rPr>
              <w:t xml:space="preserve"> in the course of performing the contract</w:t>
            </w:r>
          </w:p>
          <w:p w14:paraId="3F9FE909" w14:textId="0D40E3F9" w:rsidR="00050157" w:rsidRPr="00A30FCC" w:rsidRDefault="00E646AE" w:rsidP="00A87178">
            <w:pPr>
              <w:pStyle w:val="NoteToDrafters-ASDEFCON"/>
            </w:pPr>
            <w:r>
              <w:t xml:space="preserve">Note to drafters:  </w:t>
            </w:r>
            <w:r w:rsidR="00050157">
              <w:t>Related liability c</w:t>
            </w:r>
            <w:r w:rsidR="00A87178">
              <w:t>ap</w:t>
            </w:r>
            <w:r w:rsidR="00050157">
              <w:t xml:space="preserve"> – loss of or damage to Defence </w:t>
            </w:r>
            <w:r w:rsidR="00EE3349">
              <w:t xml:space="preserve">property </w:t>
            </w:r>
            <w:r w:rsidR="00050157">
              <w:t xml:space="preserve">(other than </w:t>
            </w:r>
            <w:r w:rsidR="002C6404">
              <w:t>supplies</w:t>
            </w:r>
            <w:r w:rsidR="00050157">
              <w:t>)</w:t>
            </w:r>
          </w:p>
        </w:tc>
        <w:tc>
          <w:tcPr>
            <w:tcW w:w="1560" w:type="dxa"/>
            <w:tcBorders>
              <w:top w:val="single" w:sz="8" w:space="0" w:color="000000"/>
              <w:left w:val="single" w:sz="8" w:space="0" w:color="000000"/>
              <w:bottom w:val="single" w:sz="8" w:space="0" w:color="000000"/>
              <w:right w:val="single" w:sz="8" w:space="0" w:color="000000"/>
            </w:tcBorders>
          </w:tcPr>
          <w:p w14:paraId="74BBE525" w14:textId="77777777" w:rsidR="008560E8" w:rsidRDefault="008560E8" w:rsidP="00481CE6">
            <w:pPr>
              <w:pStyle w:val="Default"/>
              <w:numPr>
                <w:ilvl w:val="0"/>
                <w:numId w:val="27"/>
              </w:numPr>
              <w:spacing w:before="110" w:after="110"/>
              <w:ind w:left="176" w:hanging="142"/>
              <w:rPr>
                <w:rFonts w:ascii="Arial" w:hAnsi="Arial" w:cs="Arial"/>
                <w:sz w:val="20"/>
                <w:szCs w:val="20"/>
              </w:rPr>
            </w:pPr>
            <w:r w:rsidRPr="00634E17">
              <w:rPr>
                <w:rFonts w:ascii="Arial" w:hAnsi="Arial" w:cs="Arial"/>
                <w:sz w:val="20"/>
                <w:szCs w:val="20"/>
              </w:rPr>
              <w:t>Unsafe work practices</w:t>
            </w:r>
          </w:p>
          <w:p w14:paraId="6752A557" w14:textId="77777777" w:rsidR="008560E8" w:rsidRPr="004128C1" w:rsidRDefault="008560E8" w:rsidP="00481CE6">
            <w:pPr>
              <w:pStyle w:val="Title"/>
              <w:numPr>
                <w:ilvl w:val="0"/>
                <w:numId w:val="27"/>
              </w:numPr>
              <w:spacing w:before="110" w:after="110"/>
              <w:ind w:left="176" w:hanging="142"/>
              <w:jc w:val="left"/>
              <w:rPr>
                <w:rFonts w:cs="Arial"/>
                <w:sz w:val="20"/>
                <w:szCs w:val="20"/>
              </w:rPr>
            </w:pPr>
            <w:r w:rsidRPr="00014181">
              <w:rPr>
                <w:rFonts w:eastAsia="Times New Roman" w:cs="Arial"/>
                <w:b w:val="0"/>
                <w:color w:val="000000"/>
                <w:sz w:val="20"/>
                <w:szCs w:val="20"/>
                <w:lang w:eastAsia="en-AU"/>
              </w:rPr>
              <w:t>Lack of technical expertise in performing the work</w:t>
            </w:r>
          </w:p>
          <w:p w14:paraId="689DDFD5" w14:textId="77777777" w:rsidR="004128C1" w:rsidRDefault="004128C1" w:rsidP="00481CE6">
            <w:pPr>
              <w:pStyle w:val="Default"/>
              <w:numPr>
                <w:ilvl w:val="0"/>
                <w:numId w:val="27"/>
              </w:numPr>
              <w:spacing w:before="110" w:after="110"/>
              <w:ind w:left="176" w:hanging="142"/>
              <w:rPr>
                <w:rFonts w:ascii="Arial" w:hAnsi="Arial" w:cs="Arial"/>
                <w:sz w:val="20"/>
                <w:szCs w:val="20"/>
              </w:rPr>
            </w:pPr>
            <w:r>
              <w:rPr>
                <w:rFonts w:ascii="Arial" w:hAnsi="Arial" w:cs="Arial"/>
                <w:sz w:val="20"/>
                <w:szCs w:val="20"/>
              </w:rPr>
              <w:t xml:space="preserve">Inadequate or unsafe contractor storage facilities </w:t>
            </w:r>
          </w:p>
          <w:p w14:paraId="0BA0D76F" w14:textId="77777777" w:rsidR="004128C1" w:rsidRPr="004128C1" w:rsidRDefault="004128C1" w:rsidP="00481CE6">
            <w:pPr>
              <w:pStyle w:val="Title"/>
              <w:numPr>
                <w:ilvl w:val="0"/>
                <w:numId w:val="27"/>
              </w:numPr>
              <w:spacing w:before="110" w:after="110"/>
              <w:ind w:left="176" w:hanging="142"/>
              <w:jc w:val="left"/>
              <w:rPr>
                <w:rFonts w:cs="Arial"/>
                <w:b w:val="0"/>
                <w:sz w:val="20"/>
                <w:szCs w:val="20"/>
              </w:rPr>
            </w:pPr>
            <w:r w:rsidRPr="004128C1">
              <w:rPr>
                <w:rFonts w:cs="Arial"/>
                <w:b w:val="0"/>
                <w:sz w:val="20"/>
                <w:szCs w:val="20"/>
              </w:rPr>
              <w:t>Inadequate or unsafe contractor transport practices</w:t>
            </w:r>
          </w:p>
          <w:p w14:paraId="347563C3" w14:textId="177B5BC5" w:rsidR="00864451" w:rsidRPr="00864451" w:rsidDel="00E14FB6" w:rsidRDefault="00864451" w:rsidP="00481CE6">
            <w:pPr>
              <w:pStyle w:val="Title"/>
              <w:numPr>
                <w:ilvl w:val="0"/>
                <w:numId w:val="27"/>
              </w:numPr>
              <w:spacing w:before="110" w:after="110"/>
              <w:ind w:left="176" w:hanging="142"/>
              <w:jc w:val="left"/>
              <w:rPr>
                <w:rFonts w:cs="Arial"/>
                <w:b w:val="0"/>
                <w:sz w:val="20"/>
                <w:szCs w:val="20"/>
              </w:rPr>
            </w:pPr>
            <w:r w:rsidRPr="00864451">
              <w:rPr>
                <w:rFonts w:cs="Arial"/>
                <w:b w:val="0"/>
                <w:sz w:val="20"/>
                <w:szCs w:val="20"/>
              </w:rPr>
              <w:t xml:space="preserve">Accidents </w:t>
            </w:r>
            <w:r w:rsidR="00A87178" w:rsidRPr="00864451">
              <w:rPr>
                <w:rFonts w:cs="Arial"/>
                <w:b w:val="0"/>
                <w:sz w:val="20"/>
                <w:szCs w:val="20"/>
              </w:rPr>
              <w:t>etc.</w:t>
            </w:r>
            <w:r w:rsidRPr="00864451">
              <w:rPr>
                <w:rFonts w:cs="Arial"/>
                <w:b w:val="0"/>
                <w:sz w:val="20"/>
                <w:szCs w:val="20"/>
              </w:rPr>
              <w:t xml:space="preserve"> and natural disasters</w:t>
            </w:r>
          </w:p>
        </w:tc>
        <w:tc>
          <w:tcPr>
            <w:tcW w:w="1439" w:type="dxa"/>
            <w:tcBorders>
              <w:top w:val="single" w:sz="8" w:space="0" w:color="000000"/>
              <w:left w:val="single" w:sz="8" w:space="0" w:color="000000"/>
              <w:bottom w:val="single" w:sz="8" w:space="0" w:color="000000"/>
              <w:right w:val="single" w:sz="8" w:space="0" w:color="000000"/>
            </w:tcBorders>
          </w:tcPr>
          <w:p w14:paraId="168110A6" w14:textId="77777777" w:rsidR="008560E8" w:rsidRPr="00014181" w:rsidRDefault="008560E8" w:rsidP="00571A1C">
            <w:pPr>
              <w:pStyle w:val="Title"/>
              <w:spacing w:before="110" w:after="110"/>
              <w:jc w:val="left"/>
              <w:rPr>
                <w:rFonts w:eastAsia="Times New Roman" w:cs="Arial"/>
                <w:b w:val="0"/>
                <w:color w:val="000000"/>
                <w:sz w:val="20"/>
                <w:szCs w:val="20"/>
                <w:lang w:eastAsia="en-AU"/>
              </w:rPr>
            </w:pPr>
            <w:r w:rsidRPr="00014181">
              <w:rPr>
                <w:rFonts w:eastAsia="Times New Roman" w:cs="Arial"/>
                <w:b w:val="0"/>
                <w:color w:val="000000"/>
                <w:sz w:val="20"/>
                <w:szCs w:val="20"/>
                <w:lang w:eastAsia="en-AU"/>
              </w:rPr>
              <w:t>Cost</w:t>
            </w:r>
          </w:p>
        </w:tc>
        <w:tc>
          <w:tcPr>
            <w:tcW w:w="2671" w:type="dxa"/>
            <w:tcBorders>
              <w:top w:val="single" w:sz="8" w:space="0" w:color="000000"/>
              <w:left w:val="single" w:sz="8" w:space="0" w:color="000000"/>
              <w:bottom w:val="single" w:sz="8" w:space="0" w:color="000000"/>
              <w:right w:val="single" w:sz="8" w:space="0" w:color="000000"/>
            </w:tcBorders>
          </w:tcPr>
          <w:p w14:paraId="70687DDA" w14:textId="77777777" w:rsidR="008560E8" w:rsidRPr="008206BE" w:rsidRDefault="008560E8" w:rsidP="00571A1C">
            <w:pPr>
              <w:pStyle w:val="Title"/>
              <w:spacing w:before="110" w:after="110"/>
              <w:jc w:val="left"/>
              <w:rPr>
                <w:rFonts w:cs="Arial"/>
                <w:b w:val="0"/>
                <w:sz w:val="20"/>
                <w:szCs w:val="20"/>
              </w:rPr>
            </w:pPr>
            <w:r w:rsidRPr="008206BE">
              <w:rPr>
                <w:b w:val="0"/>
                <w:sz w:val="20"/>
                <w:szCs w:val="20"/>
              </w:rPr>
              <w:t xml:space="preserve">Cost for </w:t>
            </w:r>
            <w:r w:rsidRPr="003B5832">
              <w:rPr>
                <w:b w:val="0"/>
                <w:sz w:val="20"/>
                <w:szCs w:val="20"/>
              </w:rPr>
              <w:t>loss of or damage to Defence property (other than supplies)</w:t>
            </w:r>
            <w:r w:rsidRPr="008206BE">
              <w:rPr>
                <w:b w:val="0"/>
                <w:sz w:val="20"/>
                <w:szCs w:val="20"/>
              </w:rPr>
              <w:t xml:space="preserve"> estimated at </w:t>
            </w:r>
            <w:r w:rsidR="00CD6455">
              <w:rPr>
                <w:b w:val="0"/>
                <w:sz w:val="20"/>
                <w:szCs w:val="20"/>
              </w:rPr>
              <w:t>M</w:t>
            </w:r>
            <w:r w:rsidRPr="008206BE">
              <w:rPr>
                <w:b w:val="0"/>
                <w:sz w:val="20"/>
                <w:szCs w:val="20"/>
              </w:rPr>
              <w:t xml:space="preserve">aximum </w:t>
            </w:r>
            <w:r w:rsidR="00CD6455">
              <w:rPr>
                <w:b w:val="0"/>
                <w:sz w:val="20"/>
                <w:szCs w:val="20"/>
              </w:rPr>
              <w:t>P</w:t>
            </w:r>
            <w:r w:rsidRPr="008206BE">
              <w:rPr>
                <w:b w:val="0"/>
                <w:sz w:val="20"/>
                <w:szCs w:val="20"/>
              </w:rPr>
              <w:t xml:space="preserve">robable </w:t>
            </w:r>
            <w:r w:rsidR="00CD6455">
              <w:rPr>
                <w:b w:val="0"/>
                <w:sz w:val="20"/>
                <w:szCs w:val="20"/>
              </w:rPr>
              <w:t>L</w:t>
            </w:r>
            <w:r w:rsidRPr="008206BE">
              <w:rPr>
                <w:b w:val="0"/>
                <w:sz w:val="20"/>
                <w:szCs w:val="20"/>
              </w:rPr>
              <w:t>oss of $75m.</w:t>
            </w:r>
          </w:p>
        </w:tc>
        <w:tc>
          <w:tcPr>
            <w:tcW w:w="3578" w:type="dxa"/>
            <w:tcBorders>
              <w:top w:val="single" w:sz="8" w:space="0" w:color="000000"/>
              <w:left w:val="single" w:sz="8" w:space="0" w:color="000000"/>
              <w:bottom w:val="single" w:sz="8" w:space="0" w:color="000000"/>
              <w:right w:val="single" w:sz="8" w:space="0" w:color="000000"/>
            </w:tcBorders>
          </w:tcPr>
          <w:p w14:paraId="73B11452" w14:textId="77777777" w:rsidR="008560E8" w:rsidRDefault="008560E8" w:rsidP="00481CE6">
            <w:pPr>
              <w:pStyle w:val="Default"/>
              <w:numPr>
                <w:ilvl w:val="0"/>
                <w:numId w:val="27"/>
              </w:numPr>
              <w:spacing w:before="110" w:after="110"/>
              <w:ind w:left="176" w:hanging="142"/>
              <w:rPr>
                <w:rFonts w:ascii="Arial" w:hAnsi="Arial" w:cs="Arial"/>
                <w:sz w:val="20"/>
                <w:szCs w:val="20"/>
              </w:rPr>
            </w:pPr>
            <w:r w:rsidRPr="00634E17">
              <w:rPr>
                <w:rFonts w:ascii="Arial" w:hAnsi="Arial" w:cs="Arial"/>
                <w:sz w:val="20"/>
                <w:szCs w:val="20"/>
              </w:rPr>
              <w:t xml:space="preserve">Tender </w:t>
            </w:r>
            <w:r>
              <w:rPr>
                <w:rFonts w:ascii="Arial" w:hAnsi="Arial" w:cs="Arial"/>
                <w:sz w:val="20"/>
                <w:szCs w:val="20"/>
              </w:rPr>
              <w:t>allows for</w:t>
            </w:r>
            <w:r w:rsidRPr="00634E17">
              <w:rPr>
                <w:rFonts w:ascii="Arial" w:hAnsi="Arial" w:cs="Arial"/>
                <w:sz w:val="20"/>
                <w:szCs w:val="20"/>
              </w:rPr>
              <w:t xml:space="preserve"> evaluat</w:t>
            </w:r>
            <w:r>
              <w:rPr>
                <w:rFonts w:ascii="Arial" w:hAnsi="Arial" w:cs="Arial"/>
                <w:sz w:val="20"/>
                <w:szCs w:val="20"/>
              </w:rPr>
              <w:t>ion of</w:t>
            </w:r>
            <w:r w:rsidRPr="00634E17">
              <w:rPr>
                <w:rFonts w:ascii="Arial" w:hAnsi="Arial" w:cs="Arial"/>
                <w:sz w:val="20"/>
                <w:szCs w:val="20"/>
              </w:rPr>
              <w:t xml:space="preserve"> </w:t>
            </w:r>
            <w:r>
              <w:rPr>
                <w:rFonts w:ascii="Arial" w:hAnsi="Arial" w:cs="Arial"/>
                <w:sz w:val="20"/>
                <w:szCs w:val="20"/>
              </w:rPr>
              <w:t>skills and experience of the key personnel.</w:t>
            </w:r>
          </w:p>
          <w:p w14:paraId="6B657F01" w14:textId="77777777" w:rsidR="008560E8" w:rsidRDefault="008560E8" w:rsidP="00481CE6">
            <w:pPr>
              <w:pStyle w:val="Default"/>
              <w:numPr>
                <w:ilvl w:val="0"/>
                <w:numId w:val="27"/>
              </w:numPr>
              <w:spacing w:before="110" w:after="110"/>
              <w:ind w:left="176" w:hanging="142"/>
              <w:rPr>
                <w:rFonts w:ascii="Arial" w:hAnsi="Arial" w:cs="Arial"/>
                <w:sz w:val="20"/>
                <w:szCs w:val="20"/>
              </w:rPr>
            </w:pPr>
            <w:r w:rsidRPr="00634E17">
              <w:rPr>
                <w:rFonts w:ascii="Arial" w:hAnsi="Arial" w:cs="Arial"/>
                <w:sz w:val="20"/>
                <w:szCs w:val="20"/>
              </w:rPr>
              <w:t>Contract requires</w:t>
            </w:r>
            <w:r>
              <w:rPr>
                <w:rFonts w:ascii="Arial" w:hAnsi="Arial" w:cs="Arial"/>
                <w:sz w:val="20"/>
                <w:szCs w:val="20"/>
              </w:rPr>
              <w:t xml:space="preserve"> contractor</w:t>
            </w:r>
            <w:r w:rsidRPr="00634E17">
              <w:rPr>
                <w:rFonts w:ascii="Arial" w:hAnsi="Arial" w:cs="Arial"/>
                <w:sz w:val="20"/>
                <w:szCs w:val="20"/>
              </w:rPr>
              <w:t xml:space="preserve"> to have insurance. </w:t>
            </w:r>
          </w:p>
          <w:p w14:paraId="2FC634E3" w14:textId="77777777" w:rsidR="00864451" w:rsidRDefault="00864451" w:rsidP="00481CE6">
            <w:pPr>
              <w:pStyle w:val="Default"/>
              <w:numPr>
                <w:ilvl w:val="0"/>
                <w:numId w:val="27"/>
              </w:numPr>
              <w:spacing w:before="110" w:after="110"/>
              <w:ind w:left="176" w:hanging="142"/>
              <w:rPr>
                <w:rFonts w:ascii="Arial" w:hAnsi="Arial" w:cs="Arial"/>
                <w:sz w:val="20"/>
                <w:szCs w:val="20"/>
              </w:rPr>
            </w:pPr>
            <w:r>
              <w:rPr>
                <w:rFonts w:ascii="Arial" w:hAnsi="Arial" w:cs="Arial"/>
                <w:sz w:val="20"/>
                <w:szCs w:val="20"/>
              </w:rPr>
              <w:t>Contractor has a</w:t>
            </w:r>
            <w:r w:rsidRPr="00864451">
              <w:rPr>
                <w:rFonts w:ascii="Arial" w:hAnsi="Arial" w:cs="Arial"/>
                <w:sz w:val="20"/>
                <w:szCs w:val="20"/>
              </w:rPr>
              <w:t>ppropriate systems to minimise accidental loss and damage, theft, fire etc</w:t>
            </w:r>
            <w:r>
              <w:rPr>
                <w:rFonts w:ascii="Arial" w:hAnsi="Arial" w:cs="Arial"/>
                <w:sz w:val="20"/>
                <w:szCs w:val="20"/>
              </w:rPr>
              <w:t>.</w:t>
            </w:r>
          </w:p>
          <w:p w14:paraId="61E7B51D" w14:textId="77777777" w:rsidR="008560E8" w:rsidRDefault="008560E8" w:rsidP="00481CE6">
            <w:pPr>
              <w:pStyle w:val="Title"/>
              <w:numPr>
                <w:ilvl w:val="0"/>
                <w:numId w:val="27"/>
              </w:numPr>
              <w:spacing w:before="110" w:after="110"/>
              <w:ind w:left="176" w:hanging="142"/>
              <w:jc w:val="left"/>
              <w:rPr>
                <w:rFonts w:eastAsia="Times New Roman" w:cs="Arial"/>
                <w:b w:val="0"/>
                <w:color w:val="000000"/>
                <w:sz w:val="20"/>
                <w:szCs w:val="20"/>
                <w:lang w:eastAsia="en-AU"/>
              </w:rPr>
            </w:pPr>
            <w:r w:rsidRPr="00014181">
              <w:rPr>
                <w:rFonts w:eastAsia="Times New Roman" w:cs="Arial"/>
                <w:b w:val="0"/>
                <w:color w:val="000000"/>
                <w:sz w:val="20"/>
                <w:szCs w:val="20"/>
                <w:lang w:eastAsia="en-AU"/>
              </w:rPr>
              <w:t xml:space="preserve">Contractor has risk of Defence </w:t>
            </w:r>
            <w:r>
              <w:rPr>
                <w:rFonts w:eastAsia="Times New Roman" w:cs="Arial"/>
                <w:b w:val="0"/>
                <w:color w:val="000000"/>
                <w:sz w:val="20"/>
                <w:szCs w:val="20"/>
                <w:lang w:eastAsia="en-AU"/>
              </w:rPr>
              <w:t>property</w:t>
            </w:r>
            <w:r w:rsidRPr="00014181">
              <w:rPr>
                <w:rFonts w:eastAsia="Times New Roman" w:cs="Arial"/>
                <w:b w:val="0"/>
                <w:color w:val="000000"/>
                <w:sz w:val="20"/>
                <w:szCs w:val="20"/>
                <w:lang w:eastAsia="en-AU"/>
              </w:rPr>
              <w:t xml:space="preserve"> while </w:t>
            </w:r>
            <w:r>
              <w:rPr>
                <w:rFonts w:eastAsia="Times New Roman" w:cs="Arial"/>
                <w:b w:val="0"/>
                <w:color w:val="000000"/>
                <w:sz w:val="20"/>
                <w:szCs w:val="20"/>
                <w:lang w:eastAsia="en-AU"/>
              </w:rPr>
              <w:t xml:space="preserve">in </w:t>
            </w:r>
            <w:r w:rsidR="004128C1">
              <w:rPr>
                <w:rFonts w:eastAsia="Times New Roman" w:cs="Arial"/>
                <w:b w:val="0"/>
                <w:color w:val="000000"/>
                <w:sz w:val="20"/>
                <w:szCs w:val="20"/>
                <w:lang w:eastAsia="en-AU"/>
              </w:rPr>
              <w:t xml:space="preserve">its </w:t>
            </w:r>
            <w:r>
              <w:rPr>
                <w:rFonts w:eastAsia="Times New Roman" w:cs="Arial"/>
                <w:b w:val="0"/>
                <w:color w:val="000000"/>
                <w:sz w:val="20"/>
                <w:szCs w:val="20"/>
                <w:lang w:eastAsia="en-AU"/>
              </w:rPr>
              <w:t>possession</w:t>
            </w:r>
            <w:r w:rsidR="001602F6">
              <w:rPr>
                <w:rFonts w:eastAsia="Times New Roman" w:cs="Arial"/>
                <w:b w:val="0"/>
                <w:color w:val="000000"/>
                <w:sz w:val="20"/>
                <w:szCs w:val="20"/>
                <w:lang w:eastAsia="en-AU"/>
              </w:rPr>
              <w:t xml:space="preserve"> and an obligation to take reasonable care of Defence property otherwise</w:t>
            </w:r>
            <w:r>
              <w:rPr>
                <w:rFonts w:eastAsia="Times New Roman" w:cs="Arial"/>
                <w:b w:val="0"/>
                <w:color w:val="000000"/>
                <w:sz w:val="20"/>
                <w:szCs w:val="20"/>
                <w:lang w:eastAsia="en-AU"/>
              </w:rPr>
              <w:t>.</w:t>
            </w:r>
          </w:p>
          <w:p w14:paraId="111C12C6" w14:textId="77777777" w:rsidR="00394BA5" w:rsidRPr="00014181" w:rsidRDefault="00394BA5" w:rsidP="00481CE6">
            <w:pPr>
              <w:pStyle w:val="Title"/>
              <w:numPr>
                <w:ilvl w:val="0"/>
                <w:numId w:val="27"/>
              </w:numPr>
              <w:spacing w:before="110" w:after="110"/>
              <w:ind w:left="176" w:hanging="142"/>
              <w:jc w:val="left"/>
              <w:rPr>
                <w:rFonts w:eastAsia="Times New Roman" w:cs="Arial"/>
                <w:b w:val="0"/>
                <w:color w:val="000000"/>
                <w:sz w:val="20"/>
                <w:szCs w:val="20"/>
                <w:lang w:eastAsia="en-AU"/>
              </w:rPr>
            </w:pPr>
            <w:r w:rsidRPr="00394BA5">
              <w:rPr>
                <w:rFonts w:eastAsia="Times New Roman" w:cs="Arial"/>
                <w:b w:val="0"/>
                <w:color w:val="000000"/>
                <w:sz w:val="20"/>
                <w:szCs w:val="20"/>
                <w:lang w:eastAsia="en-AU"/>
              </w:rPr>
              <w:t xml:space="preserve">Contractor liable for loss or damage </w:t>
            </w:r>
            <w:r w:rsidR="004B2904">
              <w:rPr>
                <w:rFonts w:eastAsia="Times New Roman" w:cs="Arial"/>
                <w:b w:val="0"/>
                <w:color w:val="000000"/>
                <w:sz w:val="20"/>
                <w:szCs w:val="20"/>
                <w:lang w:eastAsia="en-AU"/>
              </w:rPr>
              <w:t xml:space="preserve">to Defence property </w:t>
            </w:r>
            <w:r w:rsidRPr="00394BA5">
              <w:rPr>
                <w:rFonts w:eastAsia="Times New Roman" w:cs="Arial"/>
                <w:b w:val="0"/>
                <w:color w:val="000000"/>
                <w:sz w:val="20"/>
                <w:szCs w:val="20"/>
                <w:lang w:eastAsia="en-AU"/>
              </w:rPr>
              <w:t xml:space="preserve">caused by </w:t>
            </w:r>
            <w:r>
              <w:rPr>
                <w:rFonts w:eastAsia="Times New Roman" w:cs="Arial"/>
                <w:b w:val="0"/>
                <w:color w:val="000000"/>
                <w:sz w:val="20"/>
                <w:szCs w:val="20"/>
                <w:lang w:eastAsia="en-AU"/>
              </w:rPr>
              <w:t>defective supplies</w:t>
            </w:r>
            <w:r w:rsidRPr="00394BA5">
              <w:rPr>
                <w:rFonts w:eastAsia="Times New Roman" w:cs="Arial"/>
                <w:b w:val="0"/>
                <w:color w:val="000000"/>
                <w:sz w:val="20"/>
                <w:szCs w:val="20"/>
                <w:lang w:eastAsia="en-AU"/>
              </w:rPr>
              <w:t xml:space="preserve"> during </w:t>
            </w:r>
            <w:r w:rsidR="003C3D2F">
              <w:rPr>
                <w:rFonts w:eastAsia="Times New Roman" w:cs="Arial"/>
                <w:b w:val="0"/>
                <w:color w:val="000000"/>
                <w:sz w:val="20"/>
                <w:szCs w:val="20"/>
                <w:lang w:eastAsia="en-AU"/>
              </w:rPr>
              <w:t>d</w:t>
            </w:r>
            <w:r w:rsidRPr="00394BA5">
              <w:rPr>
                <w:rFonts w:eastAsia="Times New Roman" w:cs="Arial"/>
                <w:b w:val="0"/>
                <w:color w:val="000000"/>
                <w:sz w:val="20"/>
                <w:szCs w:val="20"/>
                <w:lang w:eastAsia="en-AU"/>
              </w:rPr>
              <w:t xml:space="preserve">efect </w:t>
            </w:r>
            <w:r w:rsidR="003C3D2F">
              <w:rPr>
                <w:rFonts w:eastAsia="Times New Roman" w:cs="Arial"/>
                <w:b w:val="0"/>
                <w:color w:val="000000"/>
                <w:sz w:val="20"/>
                <w:szCs w:val="20"/>
                <w:lang w:eastAsia="en-AU"/>
              </w:rPr>
              <w:t>r</w:t>
            </w:r>
            <w:r w:rsidRPr="00394BA5">
              <w:rPr>
                <w:rFonts w:eastAsia="Times New Roman" w:cs="Arial"/>
                <w:b w:val="0"/>
                <w:color w:val="000000"/>
                <w:sz w:val="20"/>
                <w:szCs w:val="20"/>
                <w:lang w:eastAsia="en-AU"/>
              </w:rPr>
              <w:t xml:space="preserve">ectification </w:t>
            </w:r>
            <w:r w:rsidR="003C3D2F">
              <w:rPr>
                <w:rFonts w:eastAsia="Times New Roman" w:cs="Arial"/>
                <w:b w:val="0"/>
                <w:color w:val="000000"/>
                <w:sz w:val="20"/>
                <w:szCs w:val="20"/>
                <w:lang w:eastAsia="en-AU"/>
              </w:rPr>
              <w:t>p</w:t>
            </w:r>
            <w:r w:rsidRPr="00394BA5">
              <w:rPr>
                <w:rFonts w:eastAsia="Times New Roman" w:cs="Arial"/>
                <w:b w:val="0"/>
                <w:color w:val="000000"/>
                <w:sz w:val="20"/>
                <w:szCs w:val="20"/>
                <w:lang w:eastAsia="en-AU"/>
              </w:rPr>
              <w:t xml:space="preserve">eriod or by </w:t>
            </w:r>
            <w:r w:rsidR="004B2904" w:rsidRPr="004B2904">
              <w:rPr>
                <w:rFonts w:cs="Arial"/>
                <w:b w:val="0"/>
                <w:sz w:val="20"/>
                <w:szCs w:val="20"/>
              </w:rPr>
              <w:t xml:space="preserve">contractor </w:t>
            </w:r>
            <w:r w:rsidR="000502D9">
              <w:rPr>
                <w:rFonts w:cs="Arial"/>
                <w:b w:val="0"/>
                <w:sz w:val="20"/>
                <w:szCs w:val="20"/>
              </w:rPr>
              <w:t>default</w:t>
            </w:r>
            <w:r w:rsidR="000502D9" w:rsidRPr="004B2904">
              <w:rPr>
                <w:rFonts w:cs="Arial"/>
                <w:b w:val="0"/>
                <w:sz w:val="20"/>
                <w:szCs w:val="20"/>
              </w:rPr>
              <w:t xml:space="preserve"> </w:t>
            </w:r>
            <w:r w:rsidR="004B2904" w:rsidRPr="004B2904">
              <w:rPr>
                <w:rFonts w:cs="Arial"/>
                <w:b w:val="0"/>
                <w:sz w:val="20"/>
                <w:szCs w:val="20"/>
              </w:rPr>
              <w:t xml:space="preserve">after </w:t>
            </w:r>
            <w:r w:rsidR="003C3D2F">
              <w:rPr>
                <w:rFonts w:cs="Arial"/>
                <w:b w:val="0"/>
                <w:sz w:val="20"/>
                <w:szCs w:val="20"/>
              </w:rPr>
              <w:t>d</w:t>
            </w:r>
            <w:r w:rsidR="004B2904" w:rsidRPr="004B2904">
              <w:rPr>
                <w:rFonts w:cs="Arial"/>
                <w:b w:val="0"/>
                <w:sz w:val="20"/>
                <w:szCs w:val="20"/>
              </w:rPr>
              <w:t xml:space="preserve">efect </w:t>
            </w:r>
            <w:r w:rsidR="003C3D2F">
              <w:rPr>
                <w:rFonts w:cs="Arial"/>
                <w:b w:val="0"/>
                <w:sz w:val="20"/>
                <w:szCs w:val="20"/>
              </w:rPr>
              <w:t>r</w:t>
            </w:r>
            <w:r w:rsidR="004B2904" w:rsidRPr="004B2904">
              <w:rPr>
                <w:rFonts w:cs="Arial"/>
                <w:b w:val="0"/>
                <w:sz w:val="20"/>
                <w:szCs w:val="20"/>
              </w:rPr>
              <w:t xml:space="preserve">ectification </w:t>
            </w:r>
            <w:r w:rsidR="003C3D2F">
              <w:rPr>
                <w:rFonts w:cs="Arial"/>
                <w:b w:val="0"/>
                <w:sz w:val="20"/>
                <w:szCs w:val="20"/>
              </w:rPr>
              <w:t>p</w:t>
            </w:r>
            <w:r w:rsidR="004B2904" w:rsidRPr="004B2904">
              <w:rPr>
                <w:rFonts w:cs="Arial"/>
                <w:b w:val="0"/>
                <w:sz w:val="20"/>
                <w:szCs w:val="20"/>
              </w:rPr>
              <w:t>eriod</w:t>
            </w:r>
            <w:r w:rsidRPr="00394BA5">
              <w:rPr>
                <w:rFonts w:eastAsia="Times New Roman" w:cs="Arial"/>
                <w:b w:val="0"/>
                <w:color w:val="000000"/>
                <w:sz w:val="20"/>
                <w:szCs w:val="20"/>
                <w:lang w:eastAsia="en-AU"/>
              </w:rPr>
              <w:t>.</w:t>
            </w:r>
          </w:p>
          <w:p w14:paraId="7D08E55B" w14:textId="77777777" w:rsidR="008560E8" w:rsidRPr="00014181" w:rsidRDefault="008560E8" w:rsidP="00481CE6">
            <w:pPr>
              <w:pStyle w:val="Title"/>
              <w:numPr>
                <w:ilvl w:val="0"/>
                <w:numId w:val="27"/>
              </w:numPr>
              <w:spacing w:before="110" w:after="110"/>
              <w:ind w:left="176" w:hanging="142"/>
              <w:jc w:val="left"/>
              <w:rPr>
                <w:rFonts w:eastAsia="Times New Roman" w:cs="Arial"/>
                <w:b w:val="0"/>
                <w:color w:val="000000"/>
                <w:sz w:val="20"/>
                <w:szCs w:val="20"/>
                <w:lang w:eastAsia="en-AU"/>
              </w:rPr>
            </w:pPr>
            <w:r>
              <w:rPr>
                <w:rFonts w:eastAsia="Times New Roman" w:cs="Arial"/>
                <w:b w:val="0"/>
                <w:color w:val="000000"/>
                <w:sz w:val="20"/>
                <w:szCs w:val="20"/>
                <w:lang w:eastAsia="en-AU"/>
              </w:rPr>
              <w:t>Contractor has o</w:t>
            </w:r>
            <w:r w:rsidRPr="00014181">
              <w:rPr>
                <w:rFonts w:eastAsia="Times New Roman" w:cs="Arial"/>
                <w:b w:val="0"/>
                <w:color w:val="000000"/>
                <w:sz w:val="20"/>
                <w:szCs w:val="20"/>
                <w:lang w:eastAsia="en-AU"/>
              </w:rPr>
              <w:t xml:space="preserve">bligations </w:t>
            </w:r>
            <w:r>
              <w:rPr>
                <w:rFonts w:eastAsia="Times New Roman" w:cs="Arial"/>
                <w:b w:val="0"/>
                <w:color w:val="000000"/>
                <w:sz w:val="20"/>
                <w:szCs w:val="20"/>
                <w:lang w:eastAsia="en-AU"/>
              </w:rPr>
              <w:t>to keep GFF in good repair.</w:t>
            </w:r>
          </w:p>
        </w:tc>
        <w:tc>
          <w:tcPr>
            <w:tcW w:w="1223" w:type="dxa"/>
            <w:tcBorders>
              <w:top w:val="single" w:sz="8" w:space="0" w:color="000000"/>
              <w:left w:val="single" w:sz="8" w:space="0" w:color="000000"/>
              <w:bottom w:val="single" w:sz="8" w:space="0" w:color="000000"/>
              <w:right w:val="single" w:sz="8" w:space="0" w:color="000000"/>
            </w:tcBorders>
          </w:tcPr>
          <w:p w14:paraId="5953D36F" w14:textId="77777777" w:rsidR="008560E8" w:rsidRPr="00634E17" w:rsidRDefault="008560E8" w:rsidP="00571A1C">
            <w:pPr>
              <w:pStyle w:val="Default"/>
              <w:spacing w:before="110" w:after="110"/>
              <w:rPr>
                <w:rFonts w:ascii="Arial" w:hAnsi="Arial" w:cs="Arial"/>
                <w:sz w:val="20"/>
                <w:szCs w:val="20"/>
              </w:rPr>
            </w:pPr>
            <w:r>
              <w:rPr>
                <w:rFonts w:ascii="Arial" w:hAnsi="Arial" w:cs="Arial"/>
                <w:sz w:val="20"/>
                <w:szCs w:val="20"/>
              </w:rPr>
              <w:t>Unlikely</w:t>
            </w:r>
            <w:r w:rsidRPr="00634E17">
              <w:rPr>
                <w:rFonts w:ascii="Arial" w:hAnsi="Arial" w:cs="Arial"/>
                <w:sz w:val="20"/>
                <w:szCs w:val="20"/>
              </w:rPr>
              <w:t xml:space="preserve"> </w:t>
            </w:r>
          </w:p>
        </w:tc>
        <w:tc>
          <w:tcPr>
            <w:tcW w:w="1540" w:type="dxa"/>
            <w:tcBorders>
              <w:top w:val="single" w:sz="8" w:space="0" w:color="000000"/>
              <w:left w:val="single" w:sz="8" w:space="0" w:color="000000"/>
              <w:bottom w:val="single" w:sz="8" w:space="0" w:color="000000"/>
              <w:right w:val="single" w:sz="8" w:space="0" w:color="000000"/>
            </w:tcBorders>
          </w:tcPr>
          <w:p w14:paraId="7FE3416E" w14:textId="77777777" w:rsidR="008560E8" w:rsidRPr="00634E17" w:rsidRDefault="008560E8" w:rsidP="00571A1C">
            <w:pPr>
              <w:pStyle w:val="Default"/>
              <w:spacing w:before="110" w:after="110"/>
              <w:rPr>
                <w:rFonts w:ascii="Arial" w:hAnsi="Arial" w:cs="Arial"/>
                <w:sz w:val="20"/>
                <w:szCs w:val="20"/>
              </w:rPr>
            </w:pPr>
            <w:r>
              <w:rPr>
                <w:rFonts w:ascii="Arial" w:hAnsi="Arial" w:cs="Arial"/>
                <w:sz w:val="20"/>
                <w:szCs w:val="20"/>
              </w:rPr>
              <w:t>Major</w:t>
            </w:r>
            <w:r w:rsidRPr="00634E17">
              <w:rPr>
                <w:rFonts w:ascii="Arial" w:hAnsi="Arial" w:cs="Arial"/>
                <w:sz w:val="20"/>
                <w:szCs w:val="20"/>
              </w:rPr>
              <w:t xml:space="preserve"> </w:t>
            </w:r>
          </w:p>
        </w:tc>
        <w:tc>
          <w:tcPr>
            <w:tcW w:w="1078" w:type="dxa"/>
            <w:tcBorders>
              <w:top w:val="single" w:sz="8" w:space="0" w:color="000000"/>
              <w:left w:val="single" w:sz="8" w:space="0" w:color="000000"/>
              <w:bottom w:val="single" w:sz="8" w:space="0" w:color="000000"/>
              <w:right w:val="single" w:sz="8" w:space="0" w:color="000000"/>
            </w:tcBorders>
          </w:tcPr>
          <w:p w14:paraId="4C521FAE" w14:textId="77777777" w:rsidR="008560E8" w:rsidRPr="00634E17" w:rsidRDefault="008560E8" w:rsidP="00571A1C">
            <w:pPr>
              <w:pStyle w:val="Default"/>
              <w:spacing w:before="110" w:after="110"/>
              <w:rPr>
                <w:rFonts w:ascii="Arial" w:hAnsi="Arial" w:cs="Arial"/>
                <w:sz w:val="20"/>
                <w:szCs w:val="20"/>
              </w:rPr>
            </w:pPr>
            <w:r w:rsidRPr="00634E17">
              <w:rPr>
                <w:rFonts w:ascii="Arial" w:hAnsi="Arial" w:cs="Arial"/>
                <w:sz w:val="20"/>
                <w:szCs w:val="20"/>
              </w:rPr>
              <w:t xml:space="preserve">Medium </w:t>
            </w:r>
          </w:p>
        </w:tc>
      </w:tr>
      <w:tr w:rsidR="00014181" w:rsidRPr="00634E17" w14:paraId="751C28A0" w14:textId="77777777" w:rsidTr="00871A65">
        <w:tc>
          <w:tcPr>
            <w:tcW w:w="1809" w:type="dxa"/>
            <w:tcBorders>
              <w:top w:val="single" w:sz="8" w:space="0" w:color="000000"/>
              <w:left w:val="single" w:sz="8" w:space="0" w:color="000000"/>
              <w:bottom w:val="single" w:sz="8" w:space="0" w:color="000000"/>
              <w:right w:val="single" w:sz="8" w:space="0" w:color="000000"/>
            </w:tcBorders>
          </w:tcPr>
          <w:p w14:paraId="7A52B000" w14:textId="77777777" w:rsidR="00014181" w:rsidRDefault="00A30FCC" w:rsidP="00571A1C">
            <w:pPr>
              <w:pStyle w:val="Default"/>
              <w:numPr>
                <w:ilvl w:val="0"/>
                <w:numId w:val="1"/>
              </w:numPr>
              <w:tabs>
                <w:tab w:val="clear" w:pos="720"/>
                <w:tab w:val="left" w:pos="284"/>
              </w:tabs>
              <w:spacing w:before="110" w:after="110"/>
              <w:ind w:left="0" w:firstLine="0"/>
              <w:rPr>
                <w:rFonts w:ascii="Arial" w:hAnsi="Arial" w:cs="Arial"/>
                <w:sz w:val="20"/>
                <w:szCs w:val="20"/>
              </w:rPr>
            </w:pPr>
            <w:r w:rsidRPr="00A30FCC">
              <w:rPr>
                <w:rFonts w:ascii="Arial" w:hAnsi="Arial" w:cs="Arial"/>
                <w:sz w:val="20"/>
                <w:szCs w:val="20"/>
              </w:rPr>
              <w:t xml:space="preserve">The </w:t>
            </w:r>
            <w:r w:rsidR="00780A2D">
              <w:rPr>
                <w:rFonts w:ascii="Arial" w:hAnsi="Arial" w:cs="Arial"/>
                <w:sz w:val="20"/>
                <w:szCs w:val="20"/>
              </w:rPr>
              <w:t>contractor</w:t>
            </w:r>
            <w:r w:rsidRPr="00A30FCC">
              <w:rPr>
                <w:rFonts w:ascii="Arial" w:hAnsi="Arial" w:cs="Arial"/>
                <w:sz w:val="20"/>
                <w:szCs w:val="20"/>
              </w:rPr>
              <w:t xml:space="preserve"> damages the property of a third party or Commonwealth </w:t>
            </w:r>
            <w:r w:rsidR="00780A2D">
              <w:rPr>
                <w:rFonts w:ascii="Arial" w:hAnsi="Arial" w:cs="Arial"/>
                <w:sz w:val="20"/>
                <w:szCs w:val="20"/>
              </w:rPr>
              <w:lastRenderedPageBreak/>
              <w:t>property</w:t>
            </w:r>
            <w:r w:rsidRPr="00A30FCC">
              <w:rPr>
                <w:rFonts w:ascii="Arial" w:hAnsi="Arial" w:cs="Arial"/>
                <w:sz w:val="20"/>
                <w:szCs w:val="20"/>
              </w:rPr>
              <w:t xml:space="preserve"> (other than Defence property)</w:t>
            </w:r>
            <w:r w:rsidR="00F821D3">
              <w:rPr>
                <w:rFonts w:ascii="Arial" w:hAnsi="Arial" w:cs="Arial"/>
                <w:sz w:val="20"/>
                <w:szCs w:val="20"/>
              </w:rPr>
              <w:t xml:space="preserve"> </w:t>
            </w:r>
            <w:r w:rsidR="007831BE" w:rsidRPr="007831BE">
              <w:rPr>
                <w:rFonts w:ascii="Arial" w:hAnsi="Arial" w:cs="Arial"/>
                <w:sz w:val="20"/>
                <w:szCs w:val="20"/>
              </w:rPr>
              <w:t>in the course of performing the contract</w:t>
            </w:r>
          </w:p>
          <w:p w14:paraId="71280D14" w14:textId="47DCB1B9" w:rsidR="00050157" w:rsidRPr="00634E17" w:rsidRDefault="00E646AE" w:rsidP="0056639F">
            <w:pPr>
              <w:pStyle w:val="NoteToDrafters-ASDEFCON"/>
              <w:rPr>
                <w:rFonts w:cs="Arial"/>
                <w:szCs w:val="20"/>
              </w:rPr>
            </w:pPr>
            <w:r>
              <w:t xml:space="preserve">Note to drafters:  </w:t>
            </w:r>
            <w:r w:rsidR="00050157">
              <w:t xml:space="preserve">Related liability cap – </w:t>
            </w:r>
            <w:r w:rsidR="00EE3349">
              <w:t xml:space="preserve">none as </w:t>
            </w:r>
            <w:r w:rsidR="00050157">
              <w:t xml:space="preserve">third party </w:t>
            </w:r>
            <w:r w:rsidR="00DA4263">
              <w:t xml:space="preserve">property </w:t>
            </w:r>
            <w:r w:rsidR="00050157">
              <w:t xml:space="preserve">claims </w:t>
            </w:r>
            <w:r w:rsidR="00DA4263">
              <w:t xml:space="preserve"> </w:t>
            </w:r>
            <w:r w:rsidR="006815C1" w:rsidRPr="00D913EC">
              <w:t>and the loss of or damage to non-Defence Commonwealth Property</w:t>
            </w:r>
            <w:r w:rsidR="006815C1">
              <w:t xml:space="preserve"> </w:t>
            </w:r>
            <w:r w:rsidR="00DA4263">
              <w:t>cannot be capped</w:t>
            </w:r>
          </w:p>
        </w:tc>
        <w:tc>
          <w:tcPr>
            <w:tcW w:w="1560" w:type="dxa"/>
            <w:tcBorders>
              <w:top w:val="single" w:sz="8" w:space="0" w:color="000000"/>
              <w:left w:val="single" w:sz="8" w:space="0" w:color="000000"/>
              <w:bottom w:val="single" w:sz="8" w:space="0" w:color="000000"/>
              <w:right w:val="single" w:sz="8" w:space="0" w:color="000000"/>
            </w:tcBorders>
          </w:tcPr>
          <w:p w14:paraId="288A9ED8" w14:textId="77777777" w:rsidR="00014181" w:rsidRDefault="00014181" w:rsidP="00481CE6">
            <w:pPr>
              <w:pStyle w:val="Default"/>
              <w:numPr>
                <w:ilvl w:val="0"/>
                <w:numId w:val="27"/>
              </w:numPr>
              <w:spacing w:before="110" w:after="110"/>
              <w:ind w:left="176" w:hanging="142"/>
              <w:rPr>
                <w:rFonts w:ascii="Arial" w:hAnsi="Arial" w:cs="Arial"/>
                <w:sz w:val="20"/>
                <w:szCs w:val="20"/>
              </w:rPr>
            </w:pPr>
            <w:r w:rsidRPr="00634E17">
              <w:rPr>
                <w:rFonts w:ascii="Arial" w:hAnsi="Arial" w:cs="Arial"/>
                <w:sz w:val="20"/>
                <w:szCs w:val="20"/>
              </w:rPr>
              <w:lastRenderedPageBreak/>
              <w:t>Unsafe work practices</w:t>
            </w:r>
          </w:p>
          <w:p w14:paraId="68FC9191" w14:textId="77777777" w:rsidR="00014181" w:rsidRDefault="00014181" w:rsidP="00481CE6">
            <w:pPr>
              <w:pStyle w:val="Default"/>
              <w:numPr>
                <w:ilvl w:val="0"/>
                <w:numId w:val="27"/>
              </w:numPr>
              <w:spacing w:before="110" w:after="110"/>
              <w:ind w:left="176" w:hanging="142"/>
              <w:rPr>
                <w:rFonts w:ascii="Arial" w:hAnsi="Arial" w:cs="Arial"/>
                <w:sz w:val="20"/>
                <w:szCs w:val="20"/>
              </w:rPr>
            </w:pPr>
            <w:r w:rsidRPr="00634E17">
              <w:rPr>
                <w:rFonts w:ascii="Arial" w:hAnsi="Arial" w:cs="Arial"/>
                <w:sz w:val="20"/>
                <w:szCs w:val="20"/>
              </w:rPr>
              <w:t xml:space="preserve">Lack of technical </w:t>
            </w:r>
            <w:r w:rsidRPr="00634E17">
              <w:rPr>
                <w:rFonts w:ascii="Arial" w:hAnsi="Arial" w:cs="Arial"/>
                <w:sz w:val="20"/>
                <w:szCs w:val="20"/>
              </w:rPr>
              <w:lastRenderedPageBreak/>
              <w:t>expertise in performing the work</w:t>
            </w:r>
          </w:p>
          <w:p w14:paraId="3C69645B" w14:textId="77777777" w:rsidR="004B2904" w:rsidRDefault="004B2904" w:rsidP="00481CE6">
            <w:pPr>
              <w:pStyle w:val="Default"/>
              <w:numPr>
                <w:ilvl w:val="0"/>
                <w:numId w:val="27"/>
              </w:numPr>
              <w:spacing w:before="110" w:after="110"/>
              <w:ind w:left="176" w:hanging="142"/>
              <w:rPr>
                <w:rFonts w:ascii="Arial" w:hAnsi="Arial" w:cs="Arial"/>
                <w:sz w:val="20"/>
                <w:szCs w:val="20"/>
              </w:rPr>
            </w:pPr>
            <w:r>
              <w:rPr>
                <w:rFonts w:ascii="Arial" w:hAnsi="Arial" w:cs="Arial"/>
                <w:sz w:val="20"/>
                <w:szCs w:val="20"/>
              </w:rPr>
              <w:t xml:space="preserve">Inadequate or unsafe contractor storage facilities </w:t>
            </w:r>
          </w:p>
          <w:p w14:paraId="323BDA7D" w14:textId="77777777" w:rsidR="004B2904" w:rsidRDefault="004B2904" w:rsidP="00481CE6">
            <w:pPr>
              <w:pStyle w:val="Default"/>
              <w:numPr>
                <w:ilvl w:val="0"/>
                <w:numId w:val="27"/>
              </w:numPr>
              <w:spacing w:before="110" w:after="110"/>
              <w:ind w:left="176" w:hanging="142"/>
              <w:rPr>
                <w:rFonts w:ascii="Arial" w:hAnsi="Arial" w:cs="Arial"/>
                <w:sz w:val="20"/>
                <w:szCs w:val="20"/>
              </w:rPr>
            </w:pPr>
            <w:r w:rsidRPr="004B2904">
              <w:rPr>
                <w:rFonts w:ascii="Arial" w:hAnsi="Arial" w:cs="Arial"/>
                <w:sz w:val="20"/>
                <w:szCs w:val="20"/>
              </w:rPr>
              <w:t>Inadequate or unsafe contractor transport practices</w:t>
            </w:r>
          </w:p>
          <w:p w14:paraId="3D39C8AC" w14:textId="0624BD71" w:rsidR="00C9620C" w:rsidRPr="00BE4866" w:rsidRDefault="00C9620C" w:rsidP="00481CE6">
            <w:pPr>
              <w:pStyle w:val="Default"/>
              <w:numPr>
                <w:ilvl w:val="0"/>
                <w:numId w:val="27"/>
              </w:numPr>
              <w:spacing w:before="110" w:after="110"/>
              <w:ind w:left="176" w:hanging="142"/>
              <w:rPr>
                <w:rFonts w:ascii="Arial" w:hAnsi="Arial" w:cs="Arial"/>
                <w:sz w:val="20"/>
                <w:szCs w:val="20"/>
              </w:rPr>
            </w:pPr>
            <w:r w:rsidRPr="00C9620C">
              <w:rPr>
                <w:rFonts w:ascii="Arial" w:hAnsi="Arial" w:cs="Arial"/>
                <w:sz w:val="20"/>
                <w:szCs w:val="20"/>
              </w:rPr>
              <w:t xml:space="preserve">Accidents </w:t>
            </w:r>
            <w:r w:rsidR="001342F0" w:rsidRPr="00C9620C">
              <w:rPr>
                <w:rFonts w:ascii="Arial" w:hAnsi="Arial" w:cs="Arial"/>
                <w:sz w:val="20"/>
                <w:szCs w:val="20"/>
              </w:rPr>
              <w:t>etc.</w:t>
            </w:r>
            <w:r w:rsidRPr="00C9620C">
              <w:rPr>
                <w:rFonts w:ascii="Arial" w:hAnsi="Arial" w:cs="Arial"/>
                <w:sz w:val="20"/>
                <w:szCs w:val="20"/>
              </w:rPr>
              <w:t xml:space="preserve"> and natural disasters</w:t>
            </w:r>
          </w:p>
        </w:tc>
        <w:tc>
          <w:tcPr>
            <w:tcW w:w="1439" w:type="dxa"/>
            <w:tcBorders>
              <w:top w:val="single" w:sz="8" w:space="0" w:color="000000"/>
              <w:left w:val="single" w:sz="8" w:space="0" w:color="000000"/>
              <w:bottom w:val="single" w:sz="8" w:space="0" w:color="000000"/>
              <w:right w:val="single" w:sz="8" w:space="0" w:color="000000"/>
            </w:tcBorders>
          </w:tcPr>
          <w:p w14:paraId="6CD45176" w14:textId="77777777" w:rsidR="00014181" w:rsidRPr="00634E17" w:rsidRDefault="00014181" w:rsidP="00571A1C">
            <w:pPr>
              <w:pStyle w:val="Default"/>
              <w:spacing w:before="110" w:after="110"/>
              <w:rPr>
                <w:rFonts w:ascii="Arial" w:hAnsi="Arial" w:cs="Arial"/>
                <w:sz w:val="20"/>
                <w:szCs w:val="20"/>
              </w:rPr>
            </w:pPr>
            <w:r w:rsidRPr="00634E17">
              <w:rPr>
                <w:rFonts w:ascii="Arial" w:hAnsi="Arial" w:cs="Arial"/>
                <w:sz w:val="20"/>
                <w:szCs w:val="20"/>
              </w:rPr>
              <w:lastRenderedPageBreak/>
              <w:t xml:space="preserve">Cost </w:t>
            </w:r>
          </w:p>
        </w:tc>
        <w:tc>
          <w:tcPr>
            <w:tcW w:w="2671" w:type="dxa"/>
            <w:tcBorders>
              <w:top w:val="single" w:sz="8" w:space="0" w:color="000000"/>
              <w:left w:val="single" w:sz="8" w:space="0" w:color="000000"/>
              <w:bottom w:val="single" w:sz="8" w:space="0" w:color="000000"/>
              <w:right w:val="single" w:sz="8" w:space="0" w:color="000000"/>
            </w:tcBorders>
          </w:tcPr>
          <w:p w14:paraId="28461A0C" w14:textId="77777777" w:rsidR="00014181" w:rsidRPr="008560E8" w:rsidRDefault="008560E8" w:rsidP="00571A1C">
            <w:pPr>
              <w:pStyle w:val="Default"/>
              <w:spacing w:before="110" w:after="110"/>
              <w:rPr>
                <w:rFonts w:ascii="Arial" w:hAnsi="Arial" w:cs="Arial"/>
                <w:sz w:val="20"/>
                <w:szCs w:val="20"/>
              </w:rPr>
            </w:pPr>
            <w:r w:rsidRPr="008560E8">
              <w:rPr>
                <w:rFonts w:ascii="Arial" w:hAnsi="Arial" w:cs="Arial"/>
                <w:sz w:val="20"/>
                <w:szCs w:val="20"/>
              </w:rPr>
              <w:t xml:space="preserve">Cost for </w:t>
            </w:r>
            <w:r w:rsidRPr="003B5832">
              <w:rPr>
                <w:rFonts w:ascii="Arial" w:hAnsi="Arial" w:cs="Arial"/>
                <w:sz w:val="20"/>
                <w:szCs w:val="20"/>
              </w:rPr>
              <w:t xml:space="preserve">loss of or damage to third party or Commonwealth property (other than Defence property) </w:t>
            </w:r>
            <w:r w:rsidRPr="008560E8">
              <w:rPr>
                <w:rFonts w:ascii="Arial" w:hAnsi="Arial" w:cs="Arial"/>
                <w:sz w:val="20"/>
                <w:szCs w:val="20"/>
              </w:rPr>
              <w:t>estimate</w:t>
            </w:r>
            <w:r>
              <w:rPr>
                <w:rFonts w:ascii="Arial" w:hAnsi="Arial" w:cs="Arial"/>
                <w:sz w:val="20"/>
                <w:szCs w:val="20"/>
              </w:rPr>
              <w:t xml:space="preserve">d at </w:t>
            </w:r>
            <w:r w:rsidR="00CD6455">
              <w:rPr>
                <w:rFonts w:ascii="Arial" w:hAnsi="Arial" w:cs="Arial"/>
                <w:sz w:val="20"/>
                <w:szCs w:val="20"/>
              </w:rPr>
              <w:lastRenderedPageBreak/>
              <w:t>M</w:t>
            </w:r>
            <w:r>
              <w:rPr>
                <w:rFonts w:ascii="Arial" w:hAnsi="Arial" w:cs="Arial"/>
                <w:sz w:val="20"/>
                <w:szCs w:val="20"/>
              </w:rPr>
              <w:t xml:space="preserve">aximum </w:t>
            </w:r>
            <w:r w:rsidR="00CD6455">
              <w:rPr>
                <w:rFonts w:ascii="Arial" w:hAnsi="Arial" w:cs="Arial"/>
                <w:sz w:val="20"/>
                <w:szCs w:val="20"/>
              </w:rPr>
              <w:t>P</w:t>
            </w:r>
            <w:r>
              <w:rPr>
                <w:rFonts w:ascii="Arial" w:hAnsi="Arial" w:cs="Arial"/>
                <w:sz w:val="20"/>
                <w:szCs w:val="20"/>
              </w:rPr>
              <w:t xml:space="preserve">robable </w:t>
            </w:r>
            <w:r w:rsidR="00CD6455">
              <w:rPr>
                <w:rFonts w:ascii="Arial" w:hAnsi="Arial" w:cs="Arial"/>
                <w:sz w:val="20"/>
                <w:szCs w:val="20"/>
              </w:rPr>
              <w:t>L</w:t>
            </w:r>
            <w:r>
              <w:rPr>
                <w:rFonts w:ascii="Arial" w:hAnsi="Arial" w:cs="Arial"/>
                <w:sz w:val="20"/>
                <w:szCs w:val="20"/>
              </w:rPr>
              <w:t>oss of $2</w:t>
            </w:r>
            <w:r w:rsidRPr="008560E8">
              <w:rPr>
                <w:rFonts w:ascii="Arial" w:hAnsi="Arial" w:cs="Arial"/>
                <w:sz w:val="20"/>
                <w:szCs w:val="20"/>
              </w:rPr>
              <w:t>5m.</w:t>
            </w:r>
          </w:p>
        </w:tc>
        <w:tc>
          <w:tcPr>
            <w:tcW w:w="3578" w:type="dxa"/>
            <w:tcBorders>
              <w:top w:val="single" w:sz="8" w:space="0" w:color="000000"/>
              <w:left w:val="single" w:sz="8" w:space="0" w:color="000000"/>
              <w:bottom w:val="single" w:sz="8" w:space="0" w:color="000000"/>
              <w:right w:val="single" w:sz="8" w:space="0" w:color="000000"/>
            </w:tcBorders>
          </w:tcPr>
          <w:p w14:paraId="246213B4" w14:textId="77777777" w:rsidR="00882F26" w:rsidRDefault="00882F26" w:rsidP="00481CE6">
            <w:pPr>
              <w:pStyle w:val="Default"/>
              <w:numPr>
                <w:ilvl w:val="0"/>
                <w:numId w:val="27"/>
              </w:numPr>
              <w:spacing w:before="110" w:after="110"/>
              <w:ind w:left="176" w:hanging="142"/>
              <w:rPr>
                <w:rFonts w:ascii="Arial" w:hAnsi="Arial" w:cs="Arial"/>
                <w:sz w:val="20"/>
                <w:szCs w:val="20"/>
              </w:rPr>
            </w:pPr>
            <w:r w:rsidRPr="00634E17">
              <w:rPr>
                <w:rFonts w:ascii="Arial" w:hAnsi="Arial" w:cs="Arial"/>
                <w:sz w:val="20"/>
                <w:szCs w:val="20"/>
              </w:rPr>
              <w:lastRenderedPageBreak/>
              <w:t xml:space="preserve">Tender </w:t>
            </w:r>
            <w:r>
              <w:rPr>
                <w:rFonts w:ascii="Arial" w:hAnsi="Arial" w:cs="Arial"/>
                <w:sz w:val="20"/>
                <w:szCs w:val="20"/>
              </w:rPr>
              <w:t>allows for</w:t>
            </w:r>
            <w:r w:rsidRPr="00634E17">
              <w:rPr>
                <w:rFonts w:ascii="Arial" w:hAnsi="Arial" w:cs="Arial"/>
                <w:sz w:val="20"/>
                <w:szCs w:val="20"/>
              </w:rPr>
              <w:t xml:space="preserve"> evaluat</w:t>
            </w:r>
            <w:r>
              <w:rPr>
                <w:rFonts w:ascii="Arial" w:hAnsi="Arial" w:cs="Arial"/>
                <w:sz w:val="20"/>
                <w:szCs w:val="20"/>
              </w:rPr>
              <w:t>ion of</w:t>
            </w:r>
            <w:r w:rsidRPr="00634E17">
              <w:rPr>
                <w:rFonts w:ascii="Arial" w:hAnsi="Arial" w:cs="Arial"/>
                <w:sz w:val="20"/>
                <w:szCs w:val="20"/>
              </w:rPr>
              <w:t xml:space="preserve"> </w:t>
            </w:r>
            <w:r>
              <w:rPr>
                <w:rFonts w:ascii="Arial" w:hAnsi="Arial" w:cs="Arial"/>
                <w:sz w:val="20"/>
                <w:szCs w:val="20"/>
              </w:rPr>
              <w:t>skills and experience of the key personnel.</w:t>
            </w:r>
          </w:p>
          <w:p w14:paraId="619AB5F5" w14:textId="77777777" w:rsidR="00014181" w:rsidRPr="008560E8" w:rsidRDefault="00014181" w:rsidP="00481CE6">
            <w:pPr>
              <w:pStyle w:val="Title"/>
              <w:numPr>
                <w:ilvl w:val="0"/>
                <w:numId w:val="27"/>
              </w:numPr>
              <w:spacing w:before="110" w:after="110"/>
              <w:ind w:left="176" w:hanging="142"/>
              <w:jc w:val="left"/>
              <w:rPr>
                <w:rFonts w:eastAsia="Times New Roman" w:cs="Arial"/>
                <w:b w:val="0"/>
                <w:color w:val="000000"/>
                <w:sz w:val="20"/>
                <w:szCs w:val="20"/>
                <w:lang w:eastAsia="en-AU"/>
              </w:rPr>
            </w:pPr>
            <w:r w:rsidRPr="008560E8">
              <w:rPr>
                <w:rFonts w:cs="Arial"/>
                <w:b w:val="0"/>
                <w:sz w:val="20"/>
                <w:szCs w:val="20"/>
              </w:rPr>
              <w:lastRenderedPageBreak/>
              <w:t>Contract contains an indemnity from</w:t>
            </w:r>
            <w:r w:rsidRPr="00634E17">
              <w:rPr>
                <w:rFonts w:cs="Arial"/>
                <w:sz w:val="20"/>
                <w:szCs w:val="20"/>
              </w:rPr>
              <w:t xml:space="preserve"> </w:t>
            </w:r>
            <w:r w:rsidRPr="008560E8">
              <w:rPr>
                <w:rFonts w:eastAsia="Times New Roman" w:cs="Arial"/>
                <w:b w:val="0"/>
                <w:color w:val="000000"/>
                <w:sz w:val="20"/>
                <w:szCs w:val="20"/>
                <w:lang w:eastAsia="en-AU"/>
              </w:rPr>
              <w:t>the</w:t>
            </w:r>
            <w:r w:rsidR="00F821D3" w:rsidRPr="008560E8">
              <w:rPr>
                <w:rFonts w:eastAsia="Times New Roman" w:cs="Arial"/>
                <w:b w:val="0"/>
                <w:color w:val="000000"/>
                <w:sz w:val="20"/>
                <w:szCs w:val="20"/>
                <w:lang w:eastAsia="en-AU"/>
              </w:rPr>
              <w:t xml:space="preserve"> </w:t>
            </w:r>
            <w:r w:rsidR="00780A2D" w:rsidRPr="008560E8">
              <w:rPr>
                <w:rFonts w:eastAsia="Times New Roman" w:cs="Arial"/>
                <w:b w:val="0"/>
                <w:color w:val="000000"/>
                <w:sz w:val="20"/>
                <w:szCs w:val="20"/>
                <w:lang w:eastAsia="en-AU"/>
              </w:rPr>
              <w:t>contractor</w:t>
            </w:r>
            <w:r w:rsidRPr="008560E8">
              <w:rPr>
                <w:rFonts w:eastAsia="Times New Roman" w:cs="Arial"/>
                <w:b w:val="0"/>
                <w:color w:val="000000"/>
                <w:sz w:val="20"/>
                <w:szCs w:val="20"/>
                <w:lang w:eastAsia="en-AU"/>
              </w:rPr>
              <w:t xml:space="preserve"> in respect of third party property damage. </w:t>
            </w:r>
          </w:p>
          <w:p w14:paraId="0743627B" w14:textId="77777777" w:rsidR="00014181" w:rsidRDefault="00014181" w:rsidP="00481CE6">
            <w:pPr>
              <w:pStyle w:val="Title"/>
              <w:numPr>
                <w:ilvl w:val="0"/>
                <w:numId w:val="27"/>
              </w:numPr>
              <w:spacing w:before="110" w:after="110"/>
              <w:ind w:left="176" w:hanging="142"/>
              <w:jc w:val="left"/>
              <w:rPr>
                <w:rFonts w:eastAsia="Times New Roman" w:cs="Arial"/>
                <w:b w:val="0"/>
                <w:color w:val="000000"/>
                <w:sz w:val="20"/>
                <w:szCs w:val="20"/>
                <w:lang w:eastAsia="en-AU"/>
              </w:rPr>
            </w:pPr>
            <w:r w:rsidRPr="008560E8">
              <w:rPr>
                <w:rFonts w:eastAsia="Times New Roman" w:cs="Arial"/>
                <w:b w:val="0"/>
                <w:color w:val="000000"/>
                <w:sz w:val="20"/>
                <w:szCs w:val="20"/>
                <w:lang w:eastAsia="en-AU"/>
              </w:rPr>
              <w:t>Contractor liab</w:t>
            </w:r>
            <w:r w:rsidR="000606D4">
              <w:rPr>
                <w:rFonts w:eastAsia="Times New Roman" w:cs="Arial"/>
                <w:b w:val="0"/>
                <w:color w:val="000000"/>
                <w:sz w:val="20"/>
                <w:szCs w:val="20"/>
                <w:lang w:eastAsia="en-AU"/>
              </w:rPr>
              <w:t>le</w:t>
            </w:r>
            <w:r w:rsidRPr="008560E8">
              <w:rPr>
                <w:rFonts w:eastAsia="Times New Roman" w:cs="Arial"/>
                <w:b w:val="0"/>
                <w:color w:val="000000"/>
                <w:sz w:val="20"/>
                <w:szCs w:val="20"/>
                <w:lang w:eastAsia="en-AU"/>
              </w:rPr>
              <w:t xml:space="preserve"> for damage to Commonwealth </w:t>
            </w:r>
            <w:r w:rsidR="00780A2D" w:rsidRPr="008560E8">
              <w:rPr>
                <w:rFonts w:eastAsia="Times New Roman" w:cs="Arial"/>
                <w:b w:val="0"/>
                <w:color w:val="000000"/>
                <w:sz w:val="20"/>
                <w:szCs w:val="20"/>
                <w:lang w:eastAsia="en-AU"/>
              </w:rPr>
              <w:t>property</w:t>
            </w:r>
            <w:r w:rsidR="00D306C1" w:rsidRPr="00394BA5">
              <w:rPr>
                <w:rFonts w:eastAsia="Times New Roman" w:cs="Arial"/>
                <w:b w:val="0"/>
                <w:color w:val="000000"/>
                <w:sz w:val="20"/>
                <w:szCs w:val="20"/>
                <w:lang w:eastAsia="en-AU"/>
              </w:rPr>
              <w:t xml:space="preserve"> caused by </w:t>
            </w:r>
            <w:r w:rsidR="00D306C1">
              <w:rPr>
                <w:rFonts w:eastAsia="Times New Roman" w:cs="Arial"/>
                <w:b w:val="0"/>
                <w:color w:val="000000"/>
                <w:sz w:val="20"/>
                <w:szCs w:val="20"/>
                <w:lang w:eastAsia="en-AU"/>
              </w:rPr>
              <w:t>defective supplies</w:t>
            </w:r>
            <w:r w:rsidR="00D306C1" w:rsidRPr="00394BA5">
              <w:rPr>
                <w:rFonts w:eastAsia="Times New Roman" w:cs="Arial"/>
                <w:b w:val="0"/>
                <w:color w:val="000000"/>
                <w:sz w:val="20"/>
                <w:szCs w:val="20"/>
                <w:lang w:eastAsia="en-AU"/>
              </w:rPr>
              <w:t xml:space="preserve"> during </w:t>
            </w:r>
            <w:r w:rsidR="00B451D2">
              <w:rPr>
                <w:rFonts w:eastAsia="Times New Roman" w:cs="Arial"/>
                <w:b w:val="0"/>
                <w:color w:val="000000"/>
                <w:sz w:val="20"/>
                <w:szCs w:val="20"/>
                <w:lang w:eastAsia="en-AU"/>
              </w:rPr>
              <w:t>d</w:t>
            </w:r>
            <w:r w:rsidR="00D306C1" w:rsidRPr="00394BA5">
              <w:rPr>
                <w:rFonts w:eastAsia="Times New Roman" w:cs="Arial"/>
                <w:b w:val="0"/>
                <w:color w:val="000000"/>
                <w:sz w:val="20"/>
                <w:szCs w:val="20"/>
                <w:lang w:eastAsia="en-AU"/>
              </w:rPr>
              <w:t xml:space="preserve">efect </w:t>
            </w:r>
            <w:r w:rsidR="00B451D2">
              <w:rPr>
                <w:rFonts w:eastAsia="Times New Roman" w:cs="Arial"/>
                <w:b w:val="0"/>
                <w:color w:val="000000"/>
                <w:sz w:val="20"/>
                <w:szCs w:val="20"/>
                <w:lang w:eastAsia="en-AU"/>
              </w:rPr>
              <w:t>r</w:t>
            </w:r>
            <w:r w:rsidR="00D306C1" w:rsidRPr="00394BA5">
              <w:rPr>
                <w:rFonts w:eastAsia="Times New Roman" w:cs="Arial"/>
                <w:b w:val="0"/>
                <w:color w:val="000000"/>
                <w:sz w:val="20"/>
                <w:szCs w:val="20"/>
                <w:lang w:eastAsia="en-AU"/>
              </w:rPr>
              <w:t xml:space="preserve">ectification </w:t>
            </w:r>
            <w:r w:rsidR="00B451D2">
              <w:rPr>
                <w:rFonts w:eastAsia="Times New Roman" w:cs="Arial"/>
                <w:b w:val="0"/>
                <w:color w:val="000000"/>
                <w:sz w:val="20"/>
                <w:szCs w:val="20"/>
                <w:lang w:eastAsia="en-AU"/>
              </w:rPr>
              <w:t>p</w:t>
            </w:r>
            <w:r w:rsidR="00D306C1" w:rsidRPr="00394BA5">
              <w:rPr>
                <w:rFonts w:eastAsia="Times New Roman" w:cs="Arial"/>
                <w:b w:val="0"/>
                <w:color w:val="000000"/>
                <w:sz w:val="20"/>
                <w:szCs w:val="20"/>
                <w:lang w:eastAsia="en-AU"/>
              </w:rPr>
              <w:t xml:space="preserve">eriod or by </w:t>
            </w:r>
            <w:r w:rsidR="00BB71C5" w:rsidRPr="00BB71C5">
              <w:rPr>
                <w:rFonts w:cs="Arial"/>
                <w:b w:val="0"/>
                <w:sz w:val="20"/>
                <w:szCs w:val="20"/>
              </w:rPr>
              <w:t xml:space="preserve">contractor </w:t>
            </w:r>
            <w:r w:rsidR="00961250">
              <w:rPr>
                <w:rFonts w:cs="Arial"/>
                <w:b w:val="0"/>
                <w:sz w:val="20"/>
                <w:szCs w:val="20"/>
              </w:rPr>
              <w:t>default</w:t>
            </w:r>
            <w:r w:rsidR="00961250" w:rsidRPr="00BB71C5">
              <w:rPr>
                <w:rFonts w:cs="Arial"/>
                <w:b w:val="0"/>
                <w:sz w:val="20"/>
                <w:szCs w:val="20"/>
              </w:rPr>
              <w:t xml:space="preserve"> </w:t>
            </w:r>
            <w:r w:rsidR="00BB71C5" w:rsidRPr="00BB71C5">
              <w:rPr>
                <w:rFonts w:cs="Arial"/>
                <w:b w:val="0"/>
                <w:sz w:val="20"/>
                <w:szCs w:val="20"/>
              </w:rPr>
              <w:t xml:space="preserve">after </w:t>
            </w:r>
            <w:r w:rsidR="003C3D2F">
              <w:rPr>
                <w:rFonts w:cs="Arial"/>
                <w:b w:val="0"/>
                <w:sz w:val="20"/>
                <w:szCs w:val="20"/>
              </w:rPr>
              <w:t>d</w:t>
            </w:r>
            <w:r w:rsidR="00BB71C5" w:rsidRPr="00BB71C5">
              <w:rPr>
                <w:rFonts w:cs="Arial"/>
                <w:b w:val="0"/>
                <w:sz w:val="20"/>
                <w:szCs w:val="20"/>
              </w:rPr>
              <w:t xml:space="preserve">efect </w:t>
            </w:r>
            <w:r w:rsidR="003C3D2F">
              <w:rPr>
                <w:rFonts w:cs="Arial"/>
                <w:b w:val="0"/>
                <w:sz w:val="20"/>
                <w:szCs w:val="20"/>
              </w:rPr>
              <w:t>r</w:t>
            </w:r>
            <w:r w:rsidR="00BB71C5" w:rsidRPr="00BB71C5">
              <w:rPr>
                <w:rFonts w:cs="Arial"/>
                <w:b w:val="0"/>
                <w:sz w:val="20"/>
                <w:szCs w:val="20"/>
              </w:rPr>
              <w:t xml:space="preserve">ectification </w:t>
            </w:r>
            <w:r w:rsidR="003C3D2F">
              <w:rPr>
                <w:rFonts w:cs="Arial"/>
                <w:b w:val="0"/>
                <w:sz w:val="20"/>
                <w:szCs w:val="20"/>
              </w:rPr>
              <w:t>p</w:t>
            </w:r>
            <w:r w:rsidR="00BB71C5" w:rsidRPr="00BB71C5">
              <w:rPr>
                <w:rFonts w:cs="Arial"/>
                <w:b w:val="0"/>
                <w:sz w:val="20"/>
                <w:szCs w:val="20"/>
              </w:rPr>
              <w:t>eriod</w:t>
            </w:r>
            <w:r w:rsidR="008560E8">
              <w:rPr>
                <w:rFonts w:eastAsia="Times New Roman" w:cs="Arial"/>
                <w:b w:val="0"/>
                <w:color w:val="000000"/>
                <w:sz w:val="20"/>
                <w:szCs w:val="20"/>
                <w:lang w:eastAsia="en-AU"/>
              </w:rPr>
              <w:t>.</w:t>
            </w:r>
          </w:p>
          <w:p w14:paraId="3F25C06E" w14:textId="77777777" w:rsidR="00014181" w:rsidRDefault="008560E8" w:rsidP="00481CE6">
            <w:pPr>
              <w:pStyle w:val="Default"/>
              <w:numPr>
                <w:ilvl w:val="0"/>
                <w:numId w:val="27"/>
              </w:numPr>
              <w:spacing w:before="110" w:after="110"/>
              <w:ind w:left="176" w:hanging="142"/>
              <w:rPr>
                <w:rFonts w:ascii="Arial" w:hAnsi="Arial" w:cs="Arial"/>
                <w:sz w:val="20"/>
                <w:szCs w:val="20"/>
              </w:rPr>
            </w:pPr>
            <w:r w:rsidRPr="00634E17">
              <w:rPr>
                <w:rFonts w:ascii="Arial" w:hAnsi="Arial" w:cs="Arial"/>
                <w:sz w:val="20"/>
                <w:szCs w:val="20"/>
              </w:rPr>
              <w:t>Contract requires</w:t>
            </w:r>
            <w:r>
              <w:rPr>
                <w:rFonts w:ascii="Arial" w:hAnsi="Arial" w:cs="Arial"/>
                <w:sz w:val="20"/>
                <w:szCs w:val="20"/>
              </w:rPr>
              <w:t xml:space="preserve"> contractor</w:t>
            </w:r>
            <w:r w:rsidRPr="00634E17">
              <w:rPr>
                <w:rFonts w:ascii="Arial" w:hAnsi="Arial" w:cs="Arial"/>
                <w:sz w:val="20"/>
                <w:szCs w:val="20"/>
              </w:rPr>
              <w:t xml:space="preserve"> to have insurance. </w:t>
            </w:r>
          </w:p>
          <w:p w14:paraId="26541B32" w14:textId="26FA0FC7" w:rsidR="00C9620C" w:rsidRPr="00634E17" w:rsidRDefault="00C9620C" w:rsidP="00AE6878">
            <w:pPr>
              <w:pStyle w:val="Default"/>
              <w:numPr>
                <w:ilvl w:val="0"/>
                <w:numId w:val="27"/>
              </w:numPr>
              <w:spacing w:before="110" w:after="110"/>
              <w:ind w:left="176" w:hanging="142"/>
              <w:rPr>
                <w:rFonts w:ascii="Arial" w:hAnsi="Arial" w:cs="Arial"/>
                <w:sz w:val="20"/>
                <w:szCs w:val="20"/>
              </w:rPr>
            </w:pPr>
            <w:r>
              <w:rPr>
                <w:rFonts w:ascii="Arial" w:hAnsi="Arial" w:cs="Arial"/>
                <w:sz w:val="20"/>
                <w:szCs w:val="20"/>
              </w:rPr>
              <w:t>Liability is uncapped.</w:t>
            </w:r>
          </w:p>
        </w:tc>
        <w:tc>
          <w:tcPr>
            <w:tcW w:w="1223" w:type="dxa"/>
            <w:tcBorders>
              <w:top w:val="single" w:sz="8" w:space="0" w:color="000000"/>
              <w:left w:val="single" w:sz="8" w:space="0" w:color="000000"/>
              <w:bottom w:val="single" w:sz="8" w:space="0" w:color="000000"/>
              <w:right w:val="single" w:sz="8" w:space="0" w:color="000000"/>
            </w:tcBorders>
          </w:tcPr>
          <w:p w14:paraId="03A421D6" w14:textId="77777777" w:rsidR="00014181" w:rsidRPr="00634E17" w:rsidRDefault="008560E8" w:rsidP="00571A1C">
            <w:pPr>
              <w:pStyle w:val="Default"/>
              <w:spacing w:before="110" w:after="110"/>
              <w:rPr>
                <w:rFonts w:ascii="Arial" w:hAnsi="Arial" w:cs="Arial"/>
                <w:sz w:val="20"/>
                <w:szCs w:val="20"/>
              </w:rPr>
            </w:pPr>
            <w:r>
              <w:rPr>
                <w:rFonts w:ascii="Arial" w:hAnsi="Arial" w:cs="Arial"/>
                <w:sz w:val="20"/>
                <w:szCs w:val="20"/>
              </w:rPr>
              <w:lastRenderedPageBreak/>
              <w:t>Rare</w:t>
            </w:r>
            <w:r w:rsidR="00014181" w:rsidRPr="00634E17">
              <w:rPr>
                <w:rFonts w:ascii="Arial" w:hAnsi="Arial" w:cs="Arial"/>
                <w:sz w:val="20"/>
                <w:szCs w:val="20"/>
              </w:rPr>
              <w:t xml:space="preserve"> </w:t>
            </w:r>
          </w:p>
        </w:tc>
        <w:tc>
          <w:tcPr>
            <w:tcW w:w="1540" w:type="dxa"/>
            <w:tcBorders>
              <w:top w:val="single" w:sz="8" w:space="0" w:color="000000"/>
              <w:left w:val="single" w:sz="8" w:space="0" w:color="000000"/>
              <w:bottom w:val="single" w:sz="8" w:space="0" w:color="000000"/>
              <w:right w:val="single" w:sz="8" w:space="0" w:color="000000"/>
            </w:tcBorders>
          </w:tcPr>
          <w:p w14:paraId="4AB2CBF5" w14:textId="77777777" w:rsidR="00014181" w:rsidRPr="00634E17" w:rsidRDefault="00014181" w:rsidP="00571A1C">
            <w:pPr>
              <w:pStyle w:val="Default"/>
              <w:spacing w:before="110" w:after="110"/>
              <w:rPr>
                <w:rFonts w:ascii="Arial" w:hAnsi="Arial" w:cs="Arial"/>
                <w:sz w:val="20"/>
                <w:szCs w:val="20"/>
              </w:rPr>
            </w:pPr>
            <w:r w:rsidRPr="00634E17">
              <w:rPr>
                <w:rFonts w:ascii="Arial" w:hAnsi="Arial" w:cs="Arial"/>
                <w:sz w:val="20"/>
                <w:szCs w:val="20"/>
              </w:rPr>
              <w:t xml:space="preserve">Moderate </w:t>
            </w:r>
          </w:p>
        </w:tc>
        <w:tc>
          <w:tcPr>
            <w:tcW w:w="1078" w:type="dxa"/>
            <w:tcBorders>
              <w:top w:val="single" w:sz="8" w:space="0" w:color="000000"/>
              <w:left w:val="single" w:sz="8" w:space="0" w:color="000000"/>
              <w:bottom w:val="single" w:sz="8" w:space="0" w:color="000000"/>
              <w:right w:val="single" w:sz="8" w:space="0" w:color="000000"/>
            </w:tcBorders>
          </w:tcPr>
          <w:p w14:paraId="48475F34" w14:textId="77777777" w:rsidR="00014181" w:rsidRPr="00634E17" w:rsidRDefault="008560E8" w:rsidP="00571A1C">
            <w:pPr>
              <w:pStyle w:val="Default"/>
              <w:spacing w:before="110" w:after="110"/>
              <w:rPr>
                <w:rFonts w:ascii="Arial" w:hAnsi="Arial" w:cs="Arial"/>
                <w:sz w:val="20"/>
                <w:szCs w:val="20"/>
              </w:rPr>
            </w:pPr>
            <w:r>
              <w:rPr>
                <w:rFonts w:ascii="Arial" w:hAnsi="Arial" w:cs="Arial"/>
                <w:sz w:val="20"/>
                <w:szCs w:val="20"/>
              </w:rPr>
              <w:t>Low</w:t>
            </w:r>
            <w:r w:rsidR="00014181" w:rsidRPr="00634E17">
              <w:rPr>
                <w:rFonts w:ascii="Arial" w:hAnsi="Arial" w:cs="Arial"/>
                <w:sz w:val="20"/>
                <w:szCs w:val="20"/>
              </w:rPr>
              <w:t xml:space="preserve"> </w:t>
            </w:r>
          </w:p>
        </w:tc>
      </w:tr>
      <w:tr w:rsidR="00014181" w:rsidRPr="00634E17" w14:paraId="64DC3FB7" w14:textId="77777777" w:rsidTr="00871A65">
        <w:tc>
          <w:tcPr>
            <w:tcW w:w="1809" w:type="dxa"/>
            <w:tcBorders>
              <w:top w:val="single" w:sz="8" w:space="0" w:color="000000"/>
              <w:left w:val="single" w:sz="8" w:space="0" w:color="000000"/>
              <w:bottom w:val="single" w:sz="8" w:space="0" w:color="000000"/>
              <w:right w:val="single" w:sz="8" w:space="0" w:color="000000"/>
            </w:tcBorders>
          </w:tcPr>
          <w:p w14:paraId="138852CD" w14:textId="77777777" w:rsidR="00014181" w:rsidRDefault="00A30FCC" w:rsidP="00571A1C">
            <w:pPr>
              <w:pStyle w:val="Default"/>
              <w:numPr>
                <w:ilvl w:val="0"/>
                <w:numId w:val="1"/>
              </w:numPr>
              <w:tabs>
                <w:tab w:val="clear" w:pos="720"/>
                <w:tab w:val="left" w:pos="284"/>
              </w:tabs>
              <w:spacing w:before="110" w:after="110"/>
              <w:ind w:left="0" w:firstLine="0"/>
              <w:rPr>
                <w:rFonts w:ascii="Arial" w:hAnsi="Arial" w:cs="Arial"/>
                <w:sz w:val="20"/>
                <w:szCs w:val="20"/>
              </w:rPr>
            </w:pPr>
            <w:r w:rsidRPr="00A30FCC">
              <w:rPr>
                <w:rFonts w:ascii="Arial" w:hAnsi="Arial" w:cs="Arial"/>
                <w:sz w:val="20"/>
                <w:szCs w:val="20"/>
              </w:rPr>
              <w:t>The</w:t>
            </w:r>
            <w:r w:rsidR="00F821D3">
              <w:rPr>
                <w:rFonts w:ascii="Arial" w:hAnsi="Arial" w:cs="Arial"/>
                <w:sz w:val="20"/>
                <w:szCs w:val="20"/>
              </w:rPr>
              <w:t xml:space="preserve"> </w:t>
            </w:r>
            <w:r w:rsidR="00780A2D">
              <w:rPr>
                <w:rFonts w:ascii="Arial" w:hAnsi="Arial" w:cs="Arial"/>
                <w:sz w:val="20"/>
                <w:szCs w:val="20"/>
              </w:rPr>
              <w:t>contractor</w:t>
            </w:r>
            <w:r w:rsidRPr="00A30FCC">
              <w:rPr>
                <w:rFonts w:ascii="Arial" w:hAnsi="Arial" w:cs="Arial"/>
                <w:sz w:val="20"/>
                <w:szCs w:val="20"/>
              </w:rPr>
              <w:t xml:space="preserve"> causes a third party to suffer </w:t>
            </w:r>
            <w:r w:rsidR="00504D9F">
              <w:rPr>
                <w:rFonts w:ascii="Arial" w:hAnsi="Arial" w:cs="Arial"/>
                <w:sz w:val="20"/>
                <w:szCs w:val="20"/>
              </w:rPr>
              <w:t xml:space="preserve">pure </w:t>
            </w:r>
            <w:r w:rsidRPr="00A30FCC">
              <w:rPr>
                <w:rFonts w:ascii="Arial" w:hAnsi="Arial" w:cs="Arial"/>
                <w:sz w:val="20"/>
                <w:szCs w:val="20"/>
              </w:rPr>
              <w:t>economic loss in the course of performing the contract</w:t>
            </w:r>
          </w:p>
          <w:p w14:paraId="544F810D" w14:textId="17FD55FA" w:rsidR="0047143C" w:rsidRPr="00634E17" w:rsidRDefault="00E646AE" w:rsidP="00B459C9">
            <w:pPr>
              <w:pStyle w:val="NoteToDrafters-ASDEFCON"/>
            </w:pPr>
            <w:r>
              <w:t xml:space="preserve">Note to drafters:  </w:t>
            </w:r>
            <w:r w:rsidR="0047143C">
              <w:t>Related liability c</w:t>
            </w:r>
            <w:r w:rsidR="00B459C9">
              <w:t xml:space="preserve">ap – </w:t>
            </w:r>
            <w:r w:rsidR="00863389" w:rsidRPr="00863389">
              <w:t xml:space="preserve">losses suffered by the </w:t>
            </w:r>
            <w:r w:rsidR="00863389" w:rsidRPr="00863389">
              <w:lastRenderedPageBreak/>
              <w:t>Commonwealth other than those referred to in the other liability caps</w:t>
            </w:r>
          </w:p>
        </w:tc>
        <w:tc>
          <w:tcPr>
            <w:tcW w:w="1560" w:type="dxa"/>
            <w:tcBorders>
              <w:top w:val="single" w:sz="8" w:space="0" w:color="000000"/>
              <w:left w:val="single" w:sz="8" w:space="0" w:color="000000"/>
              <w:bottom w:val="single" w:sz="8" w:space="0" w:color="000000"/>
              <w:right w:val="single" w:sz="8" w:space="0" w:color="000000"/>
            </w:tcBorders>
          </w:tcPr>
          <w:p w14:paraId="0916C48A" w14:textId="77777777" w:rsidR="00014181" w:rsidRDefault="00014181" w:rsidP="00481CE6">
            <w:pPr>
              <w:pStyle w:val="Default"/>
              <w:numPr>
                <w:ilvl w:val="0"/>
                <w:numId w:val="27"/>
              </w:numPr>
              <w:spacing w:before="110" w:after="110"/>
              <w:ind w:left="176" w:hanging="142"/>
              <w:rPr>
                <w:rFonts w:ascii="Arial" w:hAnsi="Arial" w:cs="Arial"/>
                <w:sz w:val="20"/>
                <w:szCs w:val="20"/>
              </w:rPr>
            </w:pPr>
            <w:r w:rsidRPr="00634E17">
              <w:rPr>
                <w:rFonts w:ascii="Arial" w:hAnsi="Arial" w:cs="Arial"/>
                <w:sz w:val="20"/>
                <w:szCs w:val="20"/>
              </w:rPr>
              <w:lastRenderedPageBreak/>
              <w:t>Unsafe work practices</w:t>
            </w:r>
          </w:p>
          <w:p w14:paraId="497E9C6D" w14:textId="1451EF0C" w:rsidR="003416B0" w:rsidRPr="00BA176C" w:rsidRDefault="00014181" w:rsidP="00A16EE6">
            <w:pPr>
              <w:pStyle w:val="Default"/>
              <w:numPr>
                <w:ilvl w:val="0"/>
                <w:numId w:val="27"/>
              </w:numPr>
              <w:spacing w:before="110" w:after="110"/>
              <w:ind w:left="176" w:hanging="142"/>
              <w:rPr>
                <w:rFonts w:ascii="Arial" w:hAnsi="Arial" w:cs="Arial"/>
                <w:sz w:val="20"/>
                <w:szCs w:val="20"/>
              </w:rPr>
            </w:pPr>
            <w:r w:rsidRPr="00634E17">
              <w:rPr>
                <w:rFonts w:ascii="Arial" w:hAnsi="Arial" w:cs="Arial"/>
                <w:sz w:val="20"/>
                <w:szCs w:val="20"/>
              </w:rPr>
              <w:t xml:space="preserve">Lack of technical expertise in performing the work </w:t>
            </w:r>
          </w:p>
        </w:tc>
        <w:tc>
          <w:tcPr>
            <w:tcW w:w="1439" w:type="dxa"/>
            <w:tcBorders>
              <w:top w:val="single" w:sz="8" w:space="0" w:color="000000"/>
              <w:left w:val="single" w:sz="8" w:space="0" w:color="000000"/>
              <w:bottom w:val="single" w:sz="8" w:space="0" w:color="000000"/>
              <w:right w:val="single" w:sz="8" w:space="0" w:color="000000"/>
            </w:tcBorders>
          </w:tcPr>
          <w:p w14:paraId="1943E794" w14:textId="77777777" w:rsidR="00014181" w:rsidRPr="00634E17" w:rsidRDefault="00014181" w:rsidP="00571A1C">
            <w:pPr>
              <w:pStyle w:val="Default"/>
              <w:spacing w:before="110" w:after="110"/>
              <w:rPr>
                <w:rFonts w:ascii="Arial" w:hAnsi="Arial" w:cs="Arial"/>
                <w:sz w:val="20"/>
                <w:szCs w:val="20"/>
              </w:rPr>
            </w:pPr>
            <w:r w:rsidRPr="00634E17">
              <w:rPr>
                <w:rFonts w:ascii="Arial" w:hAnsi="Arial" w:cs="Arial"/>
                <w:sz w:val="20"/>
                <w:szCs w:val="20"/>
              </w:rPr>
              <w:t xml:space="preserve">Cost </w:t>
            </w:r>
          </w:p>
        </w:tc>
        <w:tc>
          <w:tcPr>
            <w:tcW w:w="2671" w:type="dxa"/>
            <w:tcBorders>
              <w:top w:val="single" w:sz="8" w:space="0" w:color="000000"/>
              <w:left w:val="single" w:sz="8" w:space="0" w:color="000000"/>
              <w:bottom w:val="single" w:sz="8" w:space="0" w:color="000000"/>
              <w:right w:val="single" w:sz="8" w:space="0" w:color="000000"/>
            </w:tcBorders>
          </w:tcPr>
          <w:p w14:paraId="12F970E8" w14:textId="77777777" w:rsidR="00A16EE6" w:rsidRDefault="00A16EE6" w:rsidP="00571A1C">
            <w:pPr>
              <w:pStyle w:val="Default"/>
              <w:spacing w:before="110" w:after="110"/>
              <w:rPr>
                <w:rFonts w:ascii="Arial" w:hAnsi="Arial" w:cs="Arial"/>
                <w:sz w:val="20"/>
                <w:szCs w:val="20"/>
              </w:rPr>
            </w:pPr>
            <w:r>
              <w:rPr>
                <w:rFonts w:ascii="Arial" w:hAnsi="Arial" w:cs="Arial"/>
                <w:sz w:val="20"/>
                <w:szCs w:val="20"/>
              </w:rPr>
              <w:t xml:space="preserve">The Commonwealth </w:t>
            </w:r>
            <w:r w:rsidRPr="006815C1">
              <w:rPr>
                <w:rFonts w:ascii="Arial" w:hAnsi="Arial" w:cs="Arial"/>
                <w:sz w:val="20"/>
                <w:szCs w:val="20"/>
              </w:rPr>
              <w:t>may</w:t>
            </w:r>
            <w:r>
              <w:rPr>
                <w:rFonts w:ascii="Arial" w:hAnsi="Arial" w:cs="Arial"/>
                <w:sz w:val="20"/>
                <w:szCs w:val="20"/>
              </w:rPr>
              <w:t xml:space="preserve"> be liable to pay the third party for pure economic loss </w:t>
            </w:r>
            <w:r w:rsidRPr="006815C1">
              <w:rPr>
                <w:rFonts w:ascii="Arial" w:hAnsi="Arial" w:cs="Arial"/>
                <w:sz w:val="20"/>
                <w:szCs w:val="20"/>
              </w:rPr>
              <w:t>the third party suffers</w:t>
            </w:r>
            <w:r>
              <w:rPr>
                <w:rFonts w:ascii="Arial" w:hAnsi="Arial" w:cs="Arial"/>
                <w:sz w:val="20"/>
                <w:szCs w:val="20"/>
              </w:rPr>
              <w:t>.</w:t>
            </w:r>
          </w:p>
          <w:p w14:paraId="5D17D468" w14:textId="095813BA" w:rsidR="00014181" w:rsidRPr="00634E17" w:rsidRDefault="00FB0CB3" w:rsidP="00571A1C">
            <w:pPr>
              <w:pStyle w:val="Default"/>
              <w:spacing w:before="110" w:after="110"/>
              <w:rPr>
                <w:rFonts w:ascii="Arial" w:hAnsi="Arial" w:cs="Arial"/>
                <w:sz w:val="20"/>
                <w:szCs w:val="20"/>
              </w:rPr>
            </w:pPr>
            <w:r w:rsidRPr="008560E8">
              <w:rPr>
                <w:rFonts w:ascii="Arial" w:hAnsi="Arial" w:cs="Arial"/>
                <w:sz w:val="20"/>
                <w:szCs w:val="20"/>
              </w:rPr>
              <w:t xml:space="preserve">Cost for </w:t>
            </w:r>
            <w:r w:rsidR="00882F26">
              <w:rPr>
                <w:rFonts w:ascii="Arial" w:hAnsi="Arial" w:cs="Arial"/>
                <w:sz w:val="20"/>
                <w:szCs w:val="20"/>
              </w:rPr>
              <w:t xml:space="preserve">pure </w:t>
            </w:r>
            <w:r>
              <w:rPr>
                <w:rFonts w:ascii="Arial" w:hAnsi="Arial" w:cs="Arial"/>
                <w:sz w:val="20"/>
                <w:szCs w:val="20"/>
              </w:rPr>
              <w:t xml:space="preserve">economic </w:t>
            </w:r>
            <w:r w:rsidRPr="008560E8">
              <w:rPr>
                <w:rFonts w:ascii="Arial" w:hAnsi="Arial" w:cs="Arial"/>
                <w:sz w:val="20"/>
                <w:szCs w:val="20"/>
              </w:rPr>
              <w:t xml:space="preserve">loss to </w:t>
            </w:r>
            <w:r>
              <w:rPr>
                <w:rFonts w:ascii="Arial" w:hAnsi="Arial" w:cs="Arial"/>
                <w:sz w:val="20"/>
                <w:szCs w:val="20"/>
              </w:rPr>
              <w:t xml:space="preserve">third party </w:t>
            </w:r>
            <w:r w:rsidRPr="008560E8">
              <w:rPr>
                <w:rFonts w:ascii="Arial" w:hAnsi="Arial" w:cs="Arial"/>
                <w:sz w:val="20"/>
                <w:szCs w:val="20"/>
              </w:rPr>
              <w:t>estimate</w:t>
            </w:r>
            <w:r w:rsidR="00504D9F">
              <w:rPr>
                <w:rFonts w:ascii="Arial" w:hAnsi="Arial" w:cs="Arial"/>
                <w:sz w:val="20"/>
                <w:szCs w:val="20"/>
              </w:rPr>
              <w:t xml:space="preserve">d at </w:t>
            </w:r>
            <w:r w:rsidR="00CD6455">
              <w:rPr>
                <w:rFonts w:ascii="Arial" w:hAnsi="Arial" w:cs="Arial"/>
                <w:sz w:val="20"/>
                <w:szCs w:val="20"/>
              </w:rPr>
              <w:t>M</w:t>
            </w:r>
            <w:r w:rsidR="00504D9F">
              <w:rPr>
                <w:rFonts w:ascii="Arial" w:hAnsi="Arial" w:cs="Arial"/>
                <w:sz w:val="20"/>
                <w:szCs w:val="20"/>
              </w:rPr>
              <w:t xml:space="preserve">aximum </w:t>
            </w:r>
            <w:r w:rsidR="00CD6455">
              <w:rPr>
                <w:rFonts w:ascii="Arial" w:hAnsi="Arial" w:cs="Arial"/>
                <w:sz w:val="20"/>
                <w:szCs w:val="20"/>
              </w:rPr>
              <w:t>P</w:t>
            </w:r>
            <w:r w:rsidR="00504D9F">
              <w:rPr>
                <w:rFonts w:ascii="Arial" w:hAnsi="Arial" w:cs="Arial"/>
                <w:sz w:val="20"/>
                <w:szCs w:val="20"/>
              </w:rPr>
              <w:t xml:space="preserve">robable </w:t>
            </w:r>
            <w:r w:rsidR="00CD6455">
              <w:rPr>
                <w:rFonts w:ascii="Arial" w:hAnsi="Arial" w:cs="Arial"/>
                <w:sz w:val="20"/>
                <w:szCs w:val="20"/>
              </w:rPr>
              <w:t>L</w:t>
            </w:r>
            <w:r w:rsidR="00504D9F">
              <w:rPr>
                <w:rFonts w:ascii="Arial" w:hAnsi="Arial" w:cs="Arial"/>
                <w:sz w:val="20"/>
                <w:szCs w:val="20"/>
              </w:rPr>
              <w:t>oss of $30</w:t>
            </w:r>
            <w:r w:rsidRPr="008560E8">
              <w:rPr>
                <w:rFonts w:ascii="Arial" w:hAnsi="Arial" w:cs="Arial"/>
                <w:sz w:val="20"/>
                <w:szCs w:val="20"/>
              </w:rPr>
              <w:t>m</w:t>
            </w:r>
            <w:r w:rsidR="00504D9F">
              <w:rPr>
                <w:rFonts w:ascii="Arial" w:hAnsi="Arial" w:cs="Arial"/>
                <w:sz w:val="20"/>
                <w:szCs w:val="20"/>
              </w:rPr>
              <w:t xml:space="preserve"> (as a result of seve</w:t>
            </w:r>
            <w:r w:rsidR="00882F26">
              <w:rPr>
                <w:rFonts w:ascii="Arial" w:hAnsi="Arial" w:cs="Arial"/>
                <w:sz w:val="20"/>
                <w:szCs w:val="20"/>
              </w:rPr>
              <w:t>ring an underground power cable to an industrial area)</w:t>
            </w:r>
            <w:r w:rsidRPr="008560E8">
              <w:rPr>
                <w:rFonts w:ascii="Arial" w:hAnsi="Arial" w:cs="Arial"/>
                <w:sz w:val="20"/>
                <w:szCs w:val="20"/>
              </w:rPr>
              <w:t>.</w:t>
            </w:r>
          </w:p>
        </w:tc>
        <w:tc>
          <w:tcPr>
            <w:tcW w:w="3578" w:type="dxa"/>
            <w:tcBorders>
              <w:top w:val="single" w:sz="8" w:space="0" w:color="000000"/>
              <w:left w:val="single" w:sz="8" w:space="0" w:color="000000"/>
              <w:bottom w:val="single" w:sz="8" w:space="0" w:color="000000"/>
              <w:right w:val="single" w:sz="8" w:space="0" w:color="000000"/>
            </w:tcBorders>
          </w:tcPr>
          <w:p w14:paraId="763C8A19" w14:textId="77777777" w:rsidR="00882F26" w:rsidRDefault="00882F26" w:rsidP="00481CE6">
            <w:pPr>
              <w:pStyle w:val="Default"/>
              <w:numPr>
                <w:ilvl w:val="0"/>
                <w:numId w:val="27"/>
              </w:numPr>
              <w:spacing w:before="110" w:after="110"/>
              <w:ind w:left="176" w:hanging="142"/>
              <w:rPr>
                <w:rFonts w:ascii="Arial" w:hAnsi="Arial" w:cs="Arial"/>
                <w:sz w:val="20"/>
                <w:szCs w:val="20"/>
              </w:rPr>
            </w:pPr>
            <w:r w:rsidRPr="00634E17">
              <w:rPr>
                <w:rFonts w:ascii="Arial" w:hAnsi="Arial" w:cs="Arial"/>
                <w:sz w:val="20"/>
                <w:szCs w:val="20"/>
              </w:rPr>
              <w:t xml:space="preserve">Tender </w:t>
            </w:r>
            <w:r>
              <w:rPr>
                <w:rFonts w:ascii="Arial" w:hAnsi="Arial" w:cs="Arial"/>
                <w:sz w:val="20"/>
                <w:szCs w:val="20"/>
              </w:rPr>
              <w:t>allows for</w:t>
            </w:r>
            <w:r w:rsidRPr="00634E17">
              <w:rPr>
                <w:rFonts w:ascii="Arial" w:hAnsi="Arial" w:cs="Arial"/>
                <w:sz w:val="20"/>
                <w:szCs w:val="20"/>
              </w:rPr>
              <w:t xml:space="preserve"> evaluat</w:t>
            </w:r>
            <w:r>
              <w:rPr>
                <w:rFonts w:ascii="Arial" w:hAnsi="Arial" w:cs="Arial"/>
                <w:sz w:val="20"/>
                <w:szCs w:val="20"/>
              </w:rPr>
              <w:t>ion of</w:t>
            </w:r>
            <w:r w:rsidRPr="00634E17">
              <w:rPr>
                <w:rFonts w:ascii="Arial" w:hAnsi="Arial" w:cs="Arial"/>
                <w:sz w:val="20"/>
                <w:szCs w:val="20"/>
              </w:rPr>
              <w:t xml:space="preserve"> </w:t>
            </w:r>
            <w:r>
              <w:rPr>
                <w:rFonts w:ascii="Arial" w:hAnsi="Arial" w:cs="Arial"/>
                <w:sz w:val="20"/>
                <w:szCs w:val="20"/>
              </w:rPr>
              <w:t>skills and experience of the key personnel.</w:t>
            </w:r>
          </w:p>
          <w:p w14:paraId="0B8AC5A4" w14:textId="2CF5F073" w:rsidR="00014181" w:rsidRPr="00634E17" w:rsidRDefault="00014181" w:rsidP="00481CE6">
            <w:pPr>
              <w:pStyle w:val="Default"/>
              <w:numPr>
                <w:ilvl w:val="0"/>
                <w:numId w:val="27"/>
              </w:numPr>
              <w:spacing w:before="110" w:after="110"/>
              <w:ind w:left="176" w:hanging="142"/>
              <w:rPr>
                <w:rFonts w:ascii="Arial" w:hAnsi="Arial" w:cs="Arial"/>
                <w:sz w:val="20"/>
                <w:szCs w:val="20"/>
              </w:rPr>
            </w:pPr>
            <w:r w:rsidRPr="00634E17">
              <w:rPr>
                <w:rFonts w:ascii="Arial" w:hAnsi="Arial" w:cs="Arial"/>
                <w:sz w:val="20"/>
                <w:szCs w:val="20"/>
              </w:rPr>
              <w:t>Contract contains an indemnity in respect of third party claims</w:t>
            </w:r>
            <w:r w:rsidR="00CA7B27" w:rsidRPr="00F83273">
              <w:rPr>
                <w:rFonts w:ascii="Arial" w:hAnsi="Arial" w:cs="Arial"/>
                <w:sz w:val="20"/>
                <w:szCs w:val="20"/>
              </w:rPr>
              <w:t xml:space="preserve">.  </w:t>
            </w:r>
            <w:r w:rsidR="001221E7" w:rsidRPr="00F83273">
              <w:rPr>
                <w:rFonts w:ascii="Arial" w:hAnsi="Arial" w:cs="Arial"/>
                <w:sz w:val="20"/>
                <w:szCs w:val="20"/>
              </w:rPr>
              <w:t>Losses referred to in the i</w:t>
            </w:r>
            <w:r w:rsidR="00CA7B27" w:rsidRPr="00F83273">
              <w:rPr>
                <w:rFonts w:ascii="Arial" w:hAnsi="Arial" w:cs="Arial"/>
                <w:sz w:val="20"/>
                <w:szCs w:val="20"/>
              </w:rPr>
              <w:t xml:space="preserve">ndemnity </w:t>
            </w:r>
            <w:r>
              <w:rPr>
                <w:rFonts w:ascii="Arial" w:hAnsi="Arial" w:cs="Arial"/>
                <w:sz w:val="20"/>
                <w:szCs w:val="20"/>
              </w:rPr>
              <w:t>includ</w:t>
            </w:r>
            <w:r w:rsidR="00CA7B27">
              <w:rPr>
                <w:rFonts w:ascii="Arial" w:hAnsi="Arial" w:cs="Arial"/>
                <w:sz w:val="20"/>
                <w:szCs w:val="20"/>
              </w:rPr>
              <w:t>es</w:t>
            </w:r>
            <w:r w:rsidRPr="00634E17">
              <w:rPr>
                <w:rFonts w:ascii="Arial" w:hAnsi="Arial" w:cs="Arial"/>
                <w:sz w:val="20"/>
                <w:szCs w:val="20"/>
              </w:rPr>
              <w:t xml:space="preserve"> eco</w:t>
            </w:r>
            <w:r>
              <w:rPr>
                <w:rFonts w:ascii="Arial" w:hAnsi="Arial" w:cs="Arial"/>
                <w:sz w:val="20"/>
                <w:szCs w:val="20"/>
              </w:rPr>
              <w:t>nomic</w:t>
            </w:r>
            <w:r w:rsidR="0052125A">
              <w:rPr>
                <w:rFonts w:ascii="Arial" w:hAnsi="Arial" w:cs="Arial"/>
                <w:sz w:val="20"/>
                <w:szCs w:val="20"/>
              </w:rPr>
              <w:t xml:space="preserve"> loss, however</w:t>
            </w:r>
            <w:r w:rsidR="00BB71C5">
              <w:rPr>
                <w:rFonts w:ascii="Arial" w:hAnsi="Arial" w:cs="Arial"/>
                <w:sz w:val="20"/>
                <w:szCs w:val="20"/>
              </w:rPr>
              <w:t>,</w:t>
            </w:r>
            <w:r w:rsidR="0052125A">
              <w:rPr>
                <w:rFonts w:ascii="Arial" w:hAnsi="Arial" w:cs="Arial"/>
                <w:sz w:val="20"/>
                <w:szCs w:val="20"/>
              </w:rPr>
              <w:t xml:space="preserve"> </w:t>
            </w:r>
            <w:r w:rsidR="00882F26">
              <w:rPr>
                <w:rFonts w:ascii="Arial" w:hAnsi="Arial" w:cs="Arial"/>
                <w:sz w:val="20"/>
                <w:szCs w:val="20"/>
              </w:rPr>
              <w:t xml:space="preserve">pure </w:t>
            </w:r>
            <w:r w:rsidR="0052125A">
              <w:rPr>
                <w:rFonts w:ascii="Arial" w:hAnsi="Arial" w:cs="Arial"/>
                <w:sz w:val="20"/>
                <w:szCs w:val="20"/>
              </w:rPr>
              <w:t xml:space="preserve">economic loss </w:t>
            </w:r>
            <w:r w:rsidR="003C701C">
              <w:rPr>
                <w:rFonts w:ascii="Arial" w:hAnsi="Arial" w:cs="Arial"/>
                <w:sz w:val="20"/>
                <w:szCs w:val="20"/>
              </w:rPr>
              <w:t xml:space="preserve">is not excluded from the </w:t>
            </w:r>
            <w:r w:rsidR="001D6BA1">
              <w:rPr>
                <w:rFonts w:ascii="Arial" w:hAnsi="Arial" w:cs="Arial"/>
                <w:sz w:val="20"/>
                <w:szCs w:val="20"/>
              </w:rPr>
              <w:t xml:space="preserve">liability caps and therefore </w:t>
            </w:r>
            <w:r w:rsidR="0052125A">
              <w:rPr>
                <w:rFonts w:ascii="Arial" w:hAnsi="Arial" w:cs="Arial"/>
                <w:sz w:val="20"/>
                <w:szCs w:val="20"/>
              </w:rPr>
              <w:t>can be capped.</w:t>
            </w:r>
          </w:p>
          <w:p w14:paraId="65CCCF0F" w14:textId="77777777" w:rsidR="00014181" w:rsidRPr="00634E17" w:rsidRDefault="00014181" w:rsidP="00481CE6">
            <w:pPr>
              <w:pStyle w:val="Default"/>
              <w:numPr>
                <w:ilvl w:val="0"/>
                <w:numId w:val="27"/>
              </w:numPr>
              <w:spacing w:before="110" w:after="110"/>
              <w:ind w:left="176" w:hanging="142"/>
              <w:rPr>
                <w:rFonts w:ascii="Arial" w:hAnsi="Arial" w:cs="Arial"/>
                <w:sz w:val="20"/>
                <w:szCs w:val="20"/>
              </w:rPr>
            </w:pPr>
            <w:r w:rsidRPr="00634E17">
              <w:rPr>
                <w:rFonts w:ascii="Arial" w:hAnsi="Arial" w:cs="Arial"/>
                <w:sz w:val="20"/>
                <w:szCs w:val="20"/>
              </w:rPr>
              <w:lastRenderedPageBreak/>
              <w:t xml:space="preserve">Contract requires </w:t>
            </w:r>
            <w:r w:rsidR="00780A2D">
              <w:rPr>
                <w:rFonts w:ascii="Arial" w:hAnsi="Arial" w:cs="Arial"/>
                <w:sz w:val="20"/>
                <w:szCs w:val="20"/>
              </w:rPr>
              <w:t>contractor</w:t>
            </w:r>
            <w:r w:rsidRPr="00634E17">
              <w:rPr>
                <w:rFonts w:ascii="Arial" w:hAnsi="Arial" w:cs="Arial"/>
                <w:sz w:val="20"/>
                <w:szCs w:val="20"/>
              </w:rPr>
              <w:t xml:space="preserve"> </w:t>
            </w:r>
            <w:r w:rsidR="0052125A">
              <w:rPr>
                <w:rFonts w:ascii="Arial" w:hAnsi="Arial" w:cs="Arial"/>
                <w:sz w:val="20"/>
                <w:szCs w:val="20"/>
              </w:rPr>
              <w:t xml:space="preserve">to have </w:t>
            </w:r>
            <w:r w:rsidRPr="00634E17">
              <w:rPr>
                <w:rFonts w:ascii="Arial" w:hAnsi="Arial" w:cs="Arial"/>
                <w:sz w:val="20"/>
                <w:szCs w:val="20"/>
              </w:rPr>
              <w:t xml:space="preserve">insurance. </w:t>
            </w:r>
          </w:p>
        </w:tc>
        <w:tc>
          <w:tcPr>
            <w:tcW w:w="1223" w:type="dxa"/>
            <w:tcBorders>
              <w:top w:val="single" w:sz="8" w:space="0" w:color="000000"/>
              <w:left w:val="single" w:sz="8" w:space="0" w:color="000000"/>
              <w:bottom w:val="single" w:sz="8" w:space="0" w:color="000000"/>
              <w:right w:val="single" w:sz="8" w:space="0" w:color="000000"/>
            </w:tcBorders>
          </w:tcPr>
          <w:p w14:paraId="7D307246" w14:textId="77777777" w:rsidR="00014181" w:rsidRPr="00634E17" w:rsidRDefault="00014181" w:rsidP="00571A1C">
            <w:pPr>
              <w:pStyle w:val="Default"/>
              <w:spacing w:before="110" w:after="110"/>
              <w:rPr>
                <w:rFonts w:ascii="Arial" w:hAnsi="Arial" w:cs="Arial"/>
                <w:sz w:val="20"/>
                <w:szCs w:val="20"/>
              </w:rPr>
            </w:pPr>
            <w:r w:rsidRPr="00634E17">
              <w:rPr>
                <w:rFonts w:ascii="Arial" w:hAnsi="Arial" w:cs="Arial"/>
                <w:sz w:val="20"/>
                <w:szCs w:val="20"/>
              </w:rPr>
              <w:lastRenderedPageBreak/>
              <w:t>Unlikely</w:t>
            </w:r>
          </w:p>
        </w:tc>
        <w:tc>
          <w:tcPr>
            <w:tcW w:w="1540" w:type="dxa"/>
            <w:tcBorders>
              <w:top w:val="single" w:sz="8" w:space="0" w:color="000000"/>
              <w:left w:val="single" w:sz="8" w:space="0" w:color="000000"/>
              <w:bottom w:val="single" w:sz="8" w:space="0" w:color="000000"/>
              <w:right w:val="single" w:sz="8" w:space="0" w:color="000000"/>
            </w:tcBorders>
          </w:tcPr>
          <w:p w14:paraId="469CE2FD" w14:textId="77777777" w:rsidR="00014181" w:rsidRPr="00634E17" w:rsidRDefault="0060788F" w:rsidP="00571A1C">
            <w:pPr>
              <w:pStyle w:val="Default"/>
              <w:spacing w:before="110" w:after="110"/>
              <w:rPr>
                <w:rFonts w:ascii="Arial" w:hAnsi="Arial" w:cs="Arial"/>
                <w:sz w:val="20"/>
                <w:szCs w:val="20"/>
              </w:rPr>
            </w:pPr>
            <w:r>
              <w:rPr>
                <w:rFonts w:ascii="Arial" w:hAnsi="Arial" w:cs="Arial"/>
                <w:sz w:val="20"/>
                <w:szCs w:val="20"/>
              </w:rPr>
              <w:t>Moderate</w:t>
            </w:r>
          </w:p>
        </w:tc>
        <w:tc>
          <w:tcPr>
            <w:tcW w:w="1078" w:type="dxa"/>
            <w:tcBorders>
              <w:top w:val="single" w:sz="8" w:space="0" w:color="000000"/>
              <w:left w:val="single" w:sz="8" w:space="0" w:color="000000"/>
              <w:bottom w:val="single" w:sz="8" w:space="0" w:color="000000"/>
              <w:right w:val="single" w:sz="8" w:space="0" w:color="000000"/>
            </w:tcBorders>
          </w:tcPr>
          <w:p w14:paraId="0BBCCB9F" w14:textId="77777777" w:rsidR="00014181" w:rsidRPr="00634E17" w:rsidRDefault="00653EEF" w:rsidP="00571A1C">
            <w:pPr>
              <w:pStyle w:val="Default"/>
              <w:spacing w:before="110" w:after="110"/>
              <w:rPr>
                <w:rFonts w:ascii="Arial" w:hAnsi="Arial" w:cs="Arial"/>
                <w:sz w:val="20"/>
                <w:szCs w:val="20"/>
              </w:rPr>
            </w:pPr>
            <w:r>
              <w:rPr>
                <w:rFonts w:ascii="Arial" w:hAnsi="Arial" w:cs="Arial"/>
                <w:sz w:val="20"/>
                <w:szCs w:val="20"/>
              </w:rPr>
              <w:t>Medium</w:t>
            </w:r>
          </w:p>
        </w:tc>
      </w:tr>
      <w:tr w:rsidR="00014181" w:rsidRPr="00634E17" w14:paraId="7DEF9E3D" w14:textId="77777777" w:rsidTr="00871A65">
        <w:tc>
          <w:tcPr>
            <w:tcW w:w="1809" w:type="dxa"/>
            <w:tcBorders>
              <w:top w:val="single" w:sz="8" w:space="0" w:color="000000"/>
              <w:left w:val="single" w:sz="8" w:space="0" w:color="000000"/>
              <w:bottom w:val="single" w:sz="8" w:space="0" w:color="000000"/>
              <w:right w:val="single" w:sz="8" w:space="0" w:color="000000"/>
            </w:tcBorders>
          </w:tcPr>
          <w:p w14:paraId="3DF1B52E" w14:textId="18A9A02D" w:rsidR="00014181" w:rsidRDefault="00E44846" w:rsidP="00571A1C">
            <w:pPr>
              <w:pStyle w:val="Default"/>
              <w:numPr>
                <w:ilvl w:val="0"/>
                <w:numId w:val="1"/>
              </w:numPr>
              <w:tabs>
                <w:tab w:val="clear" w:pos="720"/>
                <w:tab w:val="left" w:pos="284"/>
              </w:tabs>
              <w:spacing w:before="110" w:after="110"/>
              <w:ind w:left="0" w:firstLine="0"/>
              <w:rPr>
                <w:rFonts w:ascii="Arial" w:hAnsi="Arial" w:cs="Arial"/>
                <w:sz w:val="20"/>
                <w:szCs w:val="20"/>
              </w:rPr>
            </w:pPr>
            <w:r w:rsidRPr="00E44846">
              <w:rPr>
                <w:rFonts w:ascii="Arial" w:hAnsi="Arial" w:cs="Arial"/>
                <w:sz w:val="20"/>
                <w:szCs w:val="20"/>
              </w:rPr>
              <w:t xml:space="preserve">The </w:t>
            </w:r>
            <w:r w:rsidR="00780A2D">
              <w:rPr>
                <w:rFonts w:ascii="Arial" w:hAnsi="Arial" w:cs="Arial"/>
                <w:sz w:val="20"/>
                <w:szCs w:val="20"/>
              </w:rPr>
              <w:t>contractor</w:t>
            </w:r>
            <w:r w:rsidRPr="00E44846">
              <w:rPr>
                <w:rFonts w:ascii="Arial" w:hAnsi="Arial" w:cs="Arial"/>
                <w:sz w:val="20"/>
                <w:szCs w:val="20"/>
              </w:rPr>
              <w:t xml:space="preserve"> fails to comply with intellectual property rights, confidentiality, </w:t>
            </w:r>
            <w:r w:rsidR="00EE366C">
              <w:rPr>
                <w:rFonts w:ascii="Arial" w:hAnsi="Arial" w:cs="Arial"/>
                <w:sz w:val="20"/>
                <w:szCs w:val="20"/>
              </w:rPr>
              <w:t xml:space="preserve">Defence </w:t>
            </w:r>
            <w:r w:rsidR="00EE366C" w:rsidRPr="00E44846">
              <w:rPr>
                <w:rFonts w:ascii="Arial" w:hAnsi="Arial" w:cs="Arial"/>
                <w:sz w:val="20"/>
                <w:szCs w:val="20"/>
              </w:rPr>
              <w:t xml:space="preserve">security or </w:t>
            </w:r>
            <w:r w:rsidRPr="00E44846">
              <w:rPr>
                <w:rFonts w:ascii="Arial" w:hAnsi="Arial" w:cs="Arial"/>
                <w:sz w:val="20"/>
                <w:szCs w:val="20"/>
              </w:rPr>
              <w:t xml:space="preserve">privacy obligations </w:t>
            </w:r>
            <w:r w:rsidR="007831BE">
              <w:rPr>
                <w:rFonts w:ascii="Arial" w:hAnsi="Arial" w:cs="Arial"/>
                <w:sz w:val="20"/>
                <w:szCs w:val="20"/>
              </w:rPr>
              <w:t xml:space="preserve">under the contract </w:t>
            </w:r>
            <w:r w:rsidRPr="00E44846">
              <w:rPr>
                <w:rFonts w:ascii="Arial" w:hAnsi="Arial" w:cs="Arial"/>
                <w:sz w:val="20"/>
                <w:szCs w:val="20"/>
              </w:rPr>
              <w:t xml:space="preserve">resulting in damage to the Commonwealth or </w:t>
            </w:r>
            <w:r w:rsidR="003416B0">
              <w:rPr>
                <w:rFonts w:ascii="Arial" w:hAnsi="Arial" w:cs="Arial"/>
                <w:sz w:val="20"/>
                <w:szCs w:val="20"/>
              </w:rPr>
              <w:t xml:space="preserve">a </w:t>
            </w:r>
            <w:r w:rsidR="00D03523" w:rsidRPr="00E44846">
              <w:rPr>
                <w:rFonts w:ascii="Arial" w:hAnsi="Arial" w:cs="Arial"/>
                <w:sz w:val="20"/>
                <w:szCs w:val="20"/>
              </w:rPr>
              <w:t xml:space="preserve">third party </w:t>
            </w:r>
          </w:p>
          <w:p w14:paraId="70854F15" w14:textId="7DE58C41" w:rsidR="00497CDC" w:rsidRPr="00634E17" w:rsidRDefault="00E646AE" w:rsidP="002F2D2E">
            <w:pPr>
              <w:pStyle w:val="NoteToDrafters-ASDEFCON"/>
            </w:pPr>
            <w:r>
              <w:t xml:space="preserve">Note to drafters:  </w:t>
            </w:r>
            <w:r w:rsidR="00497CDC">
              <w:t>Related liability cap –</w:t>
            </w:r>
            <w:r w:rsidR="00EE366C">
              <w:t xml:space="preserve"> none as</w:t>
            </w:r>
            <w:r w:rsidR="00497CDC">
              <w:t xml:space="preserve"> IP, confidentiality, Defence security and privacy </w:t>
            </w:r>
            <w:r w:rsidR="00EE366C">
              <w:t xml:space="preserve">cannot be </w:t>
            </w:r>
            <w:r w:rsidR="00497CDC">
              <w:t>capped</w:t>
            </w:r>
          </w:p>
        </w:tc>
        <w:tc>
          <w:tcPr>
            <w:tcW w:w="1560" w:type="dxa"/>
            <w:tcBorders>
              <w:top w:val="single" w:sz="8" w:space="0" w:color="000000"/>
              <w:left w:val="single" w:sz="8" w:space="0" w:color="000000"/>
              <w:bottom w:val="single" w:sz="8" w:space="0" w:color="000000"/>
              <w:right w:val="single" w:sz="8" w:space="0" w:color="000000"/>
            </w:tcBorders>
          </w:tcPr>
          <w:p w14:paraId="4537BF48" w14:textId="77777777" w:rsidR="00014181" w:rsidRDefault="00B80A6D" w:rsidP="00481CE6">
            <w:pPr>
              <w:pStyle w:val="Default"/>
              <w:numPr>
                <w:ilvl w:val="0"/>
                <w:numId w:val="27"/>
              </w:numPr>
              <w:spacing w:before="110" w:after="110"/>
              <w:ind w:left="176" w:hanging="142"/>
              <w:rPr>
                <w:rFonts w:ascii="Arial" w:hAnsi="Arial" w:cs="Arial"/>
                <w:sz w:val="20"/>
                <w:szCs w:val="20"/>
              </w:rPr>
            </w:pPr>
            <w:r>
              <w:rPr>
                <w:rFonts w:ascii="Arial" w:hAnsi="Arial" w:cs="Arial"/>
                <w:sz w:val="20"/>
                <w:szCs w:val="20"/>
              </w:rPr>
              <w:t>Failure to secure IP rights</w:t>
            </w:r>
          </w:p>
          <w:p w14:paraId="06B2014E" w14:textId="77777777" w:rsidR="00E44846" w:rsidRDefault="00E44846" w:rsidP="00481CE6">
            <w:pPr>
              <w:pStyle w:val="Default"/>
              <w:numPr>
                <w:ilvl w:val="0"/>
                <w:numId w:val="27"/>
              </w:numPr>
              <w:spacing w:before="110" w:after="110"/>
              <w:ind w:left="176" w:hanging="142"/>
              <w:rPr>
                <w:rFonts w:ascii="Arial" w:hAnsi="Arial" w:cs="Arial"/>
                <w:sz w:val="20"/>
                <w:szCs w:val="20"/>
              </w:rPr>
            </w:pPr>
            <w:r w:rsidRPr="00634E17">
              <w:rPr>
                <w:rFonts w:ascii="Arial" w:hAnsi="Arial" w:cs="Arial"/>
                <w:sz w:val="20"/>
                <w:szCs w:val="20"/>
              </w:rPr>
              <w:t xml:space="preserve">Failure to </w:t>
            </w:r>
            <w:r w:rsidR="00B80A6D">
              <w:rPr>
                <w:rFonts w:ascii="Arial" w:hAnsi="Arial" w:cs="Arial"/>
                <w:sz w:val="20"/>
                <w:szCs w:val="20"/>
              </w:rPr>
              <w:t>secure confidential information</w:t>
            </w:r>
            <w:r w:rsidRPr="00634E17">
              <w:rPr>
                <w:rFonts w:ascii="Arial" w:hAnsi="Arial" w:cs="Arial"/>
                <w:sz w:val="20"/>
                <w:szCs w:val="20"/>
              </w:rPr>
              <w:t xml:space="preserve"> </w:t>
            </w:r>
          </w:p>
          <w:p w14:paraId="75E8C022" w14:textId="77777777" w:rsidR="00014181" w:rsidRDefault="00E44846" w:rsidP="00481CE6">
            <w:pPr>
              <w:pStyle w:val="Default"/>
              <w:numPr>
                <w:ilvl w:val="0"/>
                <w:numId w:val="27"/>
              </w:numPr>
              <w:spacing w:before="110" w:after="110"/>
              <w:ind w:left="176" w:hanging="142"/>
              <w:rPr>
                <w:rFonts w:ascii="Arial" w:hAnsi="Arial" w:cs="Arial"/>
                <w:sz w:val="20"/>
                <w:szCs w:val="20"/>
              </w:rPr>
            </w:pPr>
            <w:r>
              <w:rPr>
                <w:rFonts w:ascii="Arial" w:hAnsi="Arial" w:cs="Arial"/>
                <w:sz w:val="20"/>
                <w:szCs w:val="20"/>
              </w:rPr>
              <w:t>Failure to protect personal information</w:t>
            </w:r>
          </w:p>
          <w:p w14:paraId="7D1FDE65" w14:textId="77777777" w:rsidR="00B80A6D" w:rsidRPr="00634E17" w:rsidRDefault="00B80A6D" w:rsidP="00481CE6">
            <w:pPr>
              <w:pStyle w:val="Default"/>
              <w:numPr>
                <w:ilvl w:val="0"/>
                <w:numId w:val="27"/>
              </w:numPr>
              <w:spacing w:before="110" w:after="110"/>
              <w:ind w:left="176" w:hanging="142"/>
              <w:rPr>
                <w:rFonts w:ascii="Arial" w:hAnsi="Arial" w:cs="Arial"/>
                <w:sz w:val="20"/>
                <w:szCs w:val="20"/>
              </w:rPr>
            </w:pPr>
            <w:r>
              <w:rPr>
                <w:rFonts w:ascii="Arial" w:hAnsi="Arial" w:cs="Arial"/>
                <w:sz w:val="20"/>
                <w:szCs w:val="20"/>
              </w:rPr>
              <w:t>Failure to meet security obligations</w:t>
            </w:r>
          </w:p>
        </w:tc>
        <w:tc>
          <w:tcPr>
            <w:tcW w:w="1439" w:type="dxa"/>
            <w:tcBorders>
              <w:top w:val="single" w:sz="8" w:space="0" w:color="000000"/>
              <w:left w:val="single" w:sz="8" w:space="0" w:color="000000"/>
              <w:bottom w:val="single" w:sz="8" w:space="0" w:color="000000"/>
              <w:right w:val="single" w:sz="8" w:space="0" w:color="000000"/>
            </w:tcBorders>
          </w:tcPr>
          <w:p w14:paraId="4AA3C73F" w14:textId="77777777" w:rsidR="00014181" w:rsidRPr="00634E17" w:rsidRDefault="00014181" w:rsidP="00571A1C">
            <w:pPr>
              <w:pStyle w:val="Default"/>
              <w:spacing w:before="110" w:after="110"/>
              <w:rPr>
                <w:rFonts w:ascii="Arial" w:hAnsi="Arial" w:cs="Arial"/>
                <w:sz w:val="20"/>
                <w:szCs w:val="20"/>
              </w:rPr>
            </w:pPr>
            <w:r w:rsidRPr="00634E17">
              <w:rPr>
                <w:rFonts w:ascii="Arial" w:hAnsi="Arial" w:cs="Arial"/>
                <w:sz w:val="20"/>
                <w:szCs w:val="20"/>
              </w:rPr>
              <w:t xml:space="preserve">Cost </w:t>
            </w:r>
          </w:p>
        </w:tc>
        <w:tc>
          <w:tcPr>
            <w:tcW w:w="2671" w:type="dxa"/>
            <w:tcBorders>
              <w:top w:val="single" w:sz="8" w:space="0" w:color="000000"/>
              <w:left w:val="single" w:sz="8" w:space="0" w:color="000000"/>
              <w:bottom w:val="single" w:sz="8" w:space="0" w:color="000000"/>
              <w:right w:val="single" w:sz="8" w:space="0" w:color="000000"/>
            </w:tcBorders>
          </w:tcPr>
          <w:p w14:paraId="2D6B6972" w14:textId="501BF79A" w:rsidR="00497CDC" w:rsidRPr="00A16EE6" w:rsidRDefault="00497CDC" w:rsidP="00E944BF">
            <w:pPr>
              <w:pStyle w:val="Default"/>
              <w:spacing w:before="110" w:after="110"/>
              <w:rPr>
                <w:rFonts w:ascii="Arial" w:hAnsi="Arial" w:cs="Arial"/>
                <w:sz w:val="20"/>
                <w:szCs w:val="20"/>
                <w:u w:val="single"/>
              </w:rPr>
            </w:pPr>
            <w:r w:rsidRPr="00A16EE6">
              <w:rPr>
                <w:rFonts w:ascii="Arial" w:hAnsi="Arial" w:cs="Arial"/>
                <w:sz w:val="20"/>
                <w:szCs w:val="20"/>
                <w:u w:val="single"/>
              </w:rPr>
              <w:t>IP</w:t>
            </w:r>
          </w:p>
          <w:p w14:paraId="081F8DC9" w14:textId="1DB59B23" w:rsidR="00014181" w:rsidRDefault="00014181">
            <w:pPr>
              <w:pStyle w:val="Default"/>
              <w:numPr>
                <w:ilvl w:val="0"/>
                <w:numId w:val="27"/>
              </w:numPr>
              <w:spacing w:before="110" w:after="110"/>
              <w:rPr>
                <w:rFonts w:ascii="Arial" w:hAnsi="Arial" w:cs="Arial"/>
                <w:sz w:val="20"/>
                <w:szCs w:val="20"/>
              </w:rPr>
            </w:pPr>
            <w:r w:rsidRPr="00634E17">
              <w:rPr>
                <w:rFonts w:ascii="Arial" w:hAnsi="Arial" w:cs="Arial"/>
                <w:sz w:val="20"/>
                <w:szCs w:val="20"/>
              </w:rPr>
              <w:t>Commonwealth loss as a result of a third party claim. Estimated loss $10m including damages, cost of defending claim</w:t>
            </w:r>
            <w:r>
              <w:rPr>
                <w:rFonts w:ascii="Arial" w:hAnsi="Arial" w:cs="Arial"/>
                <w:sz w:val="20"/>
                <w:szCs w:val="20"/>
              </w:rPr>
              <w:t xml:space="preserve"> and </w:t>
            </w:r>
            <w:r w:rsidRPr="00634E17">
              <w:rPr>
                <w:rFonts w:ascii="Arial" w:hAnsi="Arial" w:cs="Arial"/>
                <w:sz w:val="20"/>
                <w:szCs w:val="20"/>
              </w:rPr>
              <w:t xml:space="preserve">securing alternate </w:t>
            </w:r>
            <w:r w:rsidR="00EF1117">
              <w:rPr>
                <w:rFonts w:ascii="Arial" w:hAnsi="Arial" w:cs="Arial"/>
                <w:sz w:val="20"/>
                <w:szCs w:val="20"/>
              </w:rPr>
              <w:t xml:space="preserve">IP </w:t>
            </w:r>
            <w:r w:rsidRPr="00634E17">
              <w:rPr>
                <w:rFonts w:ascii="Arial" w:hAnsi="Arial" w:cs="Arial"/>
                <w:sz w:val="20"/>
                <w:szCs w:val="20"/>
              </w:rPr>
              <w:t>rights.</w:t>
            </w:r>
          </w:p>
          <w:p w14:paraId="5B0D4FE0" w14:textId="42CC47D0" w:rsidR="00497CDC" w:rsidRPr="00A16EE6" w:rsidRDefault="00497CDC" w:rsidP="00B976E1">
            <w:pPr>
              <w:pStyle w:val="Default"/>
              <w:spacing w:before="110" w:after="110"/>
              <w:rPr>
                <w:rFonts w:ascii="Arial" w:hAnsi="Arial" w:cs="Arial"/>
                <w:sz w:val="20"/>
                <w:szCs w:val="20"/>
                <w:u w:val="single"/>
              </w:rPr>
            </w:pPr>
            <w:r w:rsidRPr="00A16EE6">
              <w:rPr>
                <w:rFonts w:ascii="Arial" w:hAnsi="Arial" w:cs="Arial"/>
                <w:sz w:val="20"/>
                <w:szCs w:val="20"/>
                <w:u w:val="single"/>
              </w:rPr>
              <w:t>Confidentiality</w:t>
            </w:r>
          </w:p>
          <w:p w14:paraId="3D8F1FF3" w14:textId="5F0BD8D7" w:rsidR="00B80A6D" w:rsidRDefault="00B80A6D" w:rsidP="00481CE6">
            <w:pPr>
              <w:pStyle w:val="Default"/>
              <w:numPr>
                <w:ilvl w:val="0"/>
                <w:numId w:val="27"/>
              </w:numPr>
              <w:spacing w:before="110" w:after="110"/>
              <w:rPr>
                <w:rFonts w:ascii="Arial" w:hAnsi="Arial" w:cs="Arial"/>
                <w:sz w:val="20"/>
                <w:szCs w:val="20"/>
              </w:rPr>
            </w:pPr>
            <w:r w:rsidRPr="00634E17">
              <w:rPr>
                <w:rFonts w:ascii="Arial" w:hAnsi="Arial" w:cs="Arial"/>
                <w:sz w:val="20"/>
                <w:szCs w:val="20"/>
              </w:rPr>
              <w:t xml:space="preserve">Commonwealth loss as a result of a third party claim. Given nature of likely </w:t>
            </w:r>
            <w:r w:rsidR="00EF1117">
              <w:rPr>
                <w:rFonts w:ascii="Arial" w:hAnsi="Arial" w:cs="Arial"/>
                <w:sz w:val="20"/>
                <w:szCs w:val="20"/>
              </w:rPr>
              <w:t xml:space="preserve">confidential </w:t>
            </w:r>
            <w:r w:rsidRPr="00634E17">
              <w:rPr>
                <w:rFonts w:ascii="Arial" w:hAnsi="Arial" w:cs="Arial"/>
                <w:sz w:val="20"/>
                <w:szCs w:val="20"/>
              </w:rPr>
              <w:t>information</w:t>
            </w:r>
            <w:r>
              <w:rPr>
                <w:rFonts w:ascii="Arial" w:hAnsi="Arial" w:cs="Arial"/>
                <w:sz w:val="20"/>
                <w:szCs w:val="20"/>
              </w:rPr>
              <w:t>,</w:t>
            </w:r>
            <w:r w:rsidRPr="00634E17">
              <w:rPr>
                <w:rFonts w:ascii="Arial" w:hAnsi="Arial" w:cs="Arial"/>
                <w:sz w:val="20"/>
                <w:szCs w:val="20"/>
              </w:rPr>
              <w:t xml:space="preserve"> estimated loss $</w:t>
            </w:r>
            <w:r w:rsidR="001602F6">
              <w:rPr>
                <w:rFonts w:ascii="Arial" w:hAnsi="Arial" w:cs="Arial"/>
                <w:sz w:val="20"/>
                <w:szCs w:val="20"/>
              </w:rPr>
              <w:t>5</w:t>
            </w:r>
            <w:r w:rsidR="001602F6" w:rsidRPr="00634E17">
              <w:rPr>
                <w:rFonts w:ascii="Arial" w:hAnsi="Arial" w:cs="Arial"/>
                <w:sz w:val="20"/>
                <w:szCs w:val="20"/>
              </w:rPr>
              <w:t>m</w:t>
            </w:r>
            <w:r w:rsidRPr="00634E17">
              <w:rPr>
                <w:rFonts w:ascii="Arial" w:hAnsi="Arial" w:cs="Arial"/>
                <w:sz w:val="20"/>
                <w:szCs w:val="20"/>
              </w:rPr>
              <w:t>.</w:t>
            </w:r>
            <w:r>
              <w:rPr>
                <w:rFonts w:ascii="Arial" w:hAnsi="Arial" w:cs="Arial"/>
                <w:sz w:val="20"/>
                <w:szCs w:val="20"/>
              </w:rPr>
              <w:t xml:space="preserve"> </w:t>
            </w:r>
          </w:p>
          <w:p w14:paraId="648A8B4B" w14:textId="47B2A64C" w:rsidR="00497CDC" w:rsidRPr="00A16EE6" w:rsidRDefault="00497CDC" w:rsidP="00B976E1">
            <w:pPr>
              <w:pStyle w:val="Default"/>
              <w:keepNext/>
              <w:spacing w:before="110" w:after="110"/>
              <w:rPr>
                <w:rFonts w:ascii="Arial" w:hAnsi="Arial" w:cs="Arial"/>
                <w:sz w:val="20"/>
                <w:szCs w:val="20"/>
                <w:u w:val="single"/>
              </w:rPr>
            </w:pPr>
            <w:r w:rsidRPr="00A16EE6">
              <w:rPr>
                <w:rFonts w:ascii="Arial" w:hAnsi="Arial" w:cs="Arial"/>
                <w:sz w:val="20"/>
                <w:szCs w:val="20"/>
                <w:u w:val="single"/>
              </w:rPr>
              <w:t>Defence security</w:t>
            </w:r>
          </w:p>
          <w:p w14:paraId="12A37193" w14:textId="17C9904D" w:rsidR="00497CDC" w:rsidRDefault="00497CDC" w:rsidP="00481CE6">
            <w:pPr>
              <w:pStyle w:val="Default"/>
              <w:numPr>
                <w:ilvl w:val="0"/>
                <w:numId w:val="27"/>
              </w:numPr>
              <w:spacing w:before="110" w:after="110"/>
              <w:rPr>
                <w:rFonts w:ascii="Arial" w:hAnsi="Arial" w:cs="Arial"/>
                <w:sz w:val="20"/>
                <w:szCs w:val="20"/>
              </w:rPr>
            </w:pPr>
            <w:r>
              <w:rPr>
                <w:rFonts w:ascii="Arial" w:hAnsi="Arial" w:cs="Arial"/>
                <w:sz w:val="20"/>
                <w:szCs w:val="20"/>
              </w:rPr>
              <w:t xml:space="preserve">Commonwealth expends amounts to investigate and address loss of </w:t>
            </w:r>
            <w:r>
              <w:rPr>
                <w:rFonts w:ascii="Arial" w:hAnsi="Arial" w:cs="Arial"/>
                <w:sz w:val="20"/>
                <w:szCs w:val="20"/>
              </w:rPr>
              <w:lastRenderedPageBreak/>
              <w:t>classified information at a cost of $35,000.</w:t>
            </w:r>
          </w:p>
          <w:p w14:paraId="2AB191CC" w14:textId="1D84E859" w:rsidR="00497CDC" w:rsidRPr="00A16EE6" w:rsidRDefault="00497CDC" w:rsidP="00B976E1">
            <w:pPr>
              <w:pStyle w:val="Default"/>
              <w:spacing w:before="110" w:after="110"/>
              <w:rPr>
                <w:rFonts w:ascii="Arial" w:hAnsi="Arial" w:cs="Arial"/>
                <w:sz w:val="20"/>
                <w:szCs w:val="20"/>
                <w:u w:val="single"/>
              </w:rPr>
            </w:pPr>
            <w:r w:rsidRPr="00A16EE6">
              <w:rPr>
                <w:rFonts w:ascii="Arial" w:hAnsi="Arial" w:cs="Arial"/>
                <w:sz w:val="20"/>
                <w:szCs w:val="20"/>
                <w:u w:val="single"/>
              </w:rPr>
              <w:t>Privacy</w:t>
            </w:r>
          </w:p>
          <w:p w14:paraId="6E7942BD" w14:textId="3F841FDD" w:rsidR="00014181" w:rsidRPr="00497CDC" w:rsidRDefault="00E44846">
            <w:pPr>
              <w:pStyle w:val="Default"/>
              <w:numPr>
                <w:ilvl w:val="0"/>
                <w:numId w:val="27"/>
              </w:numPr>
              <w:spacing w:before="110" w:after="110"/>
              <w:rPr>
                <w:rFonts w:ascii="Arial" w:hAnsi="Arial" w:cs="Arial"/>
                <w:sz w:val="20"/>
                <w:szCs w:val="20"/>
              </w:rPr>
            </w:pPr>
            <w:r>
              <w:rPr>
                <w:rFonts w:ascii="Arial" w:hAnsi="Arial" w:cs="Arial"/>
                <w:sz w:val="20"/>
                <w:szCs w:val="20"/>
              </w:rPr>
              <w:t>Commonwealth expends amounts to investigate, address and defend claims in respect of breach of Australian Privacy Principles at a cost of $100,000</w:t>
            </w:r>
            <w:r w:rsidR="00BB71C5">
              <w:rPr>
                <w:rFonts w:ascii="Arial" w:hAnsi="Arial" w:cs="Arial"/>
                <w:sz w:val="20"/>
                <w:szCs w:val="20"/>
              </w:rPr>
              <w:t>.</w:t>
            </w:r>
            <w:r w:rsidR="00B80A6D">
              <w:rPr>
                <w:rFonts w:ascii="Arial" w:hAnsi="Arial" w:cs="Arial"/>
                <w:sz w:val="20"/>
                <w:szCs w:val="20"/>
              </w:rPr>
              <w:t xml:space="preserve"> </w:t>
            </w:r>
          </w:p>
        </w:tc>
        <w:tc>
          <w:tcPr>
            <w:tcW w:w="3578" w:type="dxa"/>
            <w:tcBorders>
              <w:top w:val="single" w:sz="8" w:space="0" w:color="000000"/>
              <w:left w:val="single" w:sz="8" w:space="0" w:color="000000"/>
              <w:bottom w:val="single" w:sz="8" w:space="0" w:color="000000"/>
              <w:right w:val="single" w:sz="8" w:space="0" w:color="000000"/>
            </w:tcBorders>
          </w:tcPr>
          <w:p w14:paraId="3D023470" w14:textId="77777777" w:rsidR="00014181" w:rsidRPr="00634E17" w:rsidRDefault="00014181" w:rsidP="00481CE6">
            <w:pPr>
              <w:pStyle w:val="Default"/>
              <w:numPr>
                <w:ilvl w:val="0"/>
                <w:numId w:val="27"/>
              </w:numPr>
              <w:spacing w:before="110" w:after="110"/>
              <w:ind w:left="176" w:hanging="142"/>
              <w:rPr>
                <w:rFonts w:ascii="Arial" w:hAnsi="Arial" w:cs="Arial"/>
                <w:sz w:val="20"/>
                <w:szCs w:val="20"/>
              </w:rPr>
            </w:pPr>
            <w:r w:rsidRPr="00634E17">
              <w:rPr>
                <w:rFonts w:ascii="Arial" w:hAnsi="Arial" w:cs="Arial"/>
                <w:sz w:val="20"/>
                <w:szCs w:val="20"/>
              </w:rPr>
              <w:lastRenderedPageBreak/>
              <w:t xml:space="preserve">Tender evaluation will consider source of IP rights. </w:t>
            </w:r>
          </w:p>
          <w:p w14:paraId="18A27632" w14:textId="77777777" w:rsidR="00014181" w:rsidRDefault="00014181" w:rsidP="00481CE6">
            <w:pPr>
              <w:pStyle w:val="Default"/>
              <w:numPr>
                <w:ilvl w:val="0"/>
                <w:numId w:val="27"/>
              </w:numPr>
              <w:spacing w:before="110" w:after="110"/>
              <w:ind w:left="176" w:hanging="142"/>
              <w:rPr>
                <w:rFonts w:ascii="Arial" w:hAnsi="Arial" w:cs="Arial"/>
                <w:sz w:val="20"/>
                <w:szCs w:val="20"/>
              </w:rPr>
            </w:pPr>
            <w:r w:rsidRPr="00634E17">
              <w:rPr>
                <w:rFonts w:ascii="Arial" w:hAnsi="Arial" w:cs="Arial"/>
                <w:sz w:val="20"/>
                <w:szCs w:val="20"/>
              </w:rPr>
              <w:t>Contract contains an indemnity in respect of third party claims for IP infringement</w:t>
            </w:r>
            <w:r w:rsidR="00EF1117">
              <w:rPr>
                <w:rFonts w:ascii="Arial" w:hAnsi="Arial" w:cs="Arial"/>
                <w:sz w:val="20"/>
                <w:szCs w:val="20"/>
              </w:rPr>
              <w:t xml:space="preserve"> and breach of confidence</w:t>
            </w:r>
            <w:r w:rsidRPr="00634E17">
              <w:rPr>
                <w:rFonts w:ascii="Arial" w:hAnsi="Arial" w:cs="Arial"/>
                <w:sz w:val="20"/>
                <w:szCs w:val="20"/>
              </w:rPr>
              <w:t xml:space="preserve">. </w:t>
            </w:r>
          </w:p>
          <w:p w14:paraId="2B9D16E9" w14:textId="77777777" w:rsidR="00653EEF" w:rsidRDefault="00653EEF" w:rsidP="00481CE6">
            <w:pPr>
              <w:pStyle w:val="Default"/>
              <w:numPr>
                <w:ilvl w:val="0"/>
                <w:numId w:val="27"/>
              </w:numPr>
              <w:spacing w:before="110" w:after="110"/>
              <w:ind w:left="176" w:hanging="142"/>
              <w:rPr>
                <w:rFonts w:ascii="Arial" w:hAnsi="Arial" w:cs="Arial"/>
                <w:sz w:val="20"/>
                <w:szCs w:val="20"/>
              </w:rPr>
            </w:pPr>
            <w:r>
              <w:rPr>
                <w:rFonts w:ascii="Arial" w:hAnsi="Arial" w:cs="Arial"/>
                <w:sz w:val="20"/>
                <w:szCs w:val="20"/>
              </w:rPr>
              <w:t>Contract contains an indemnity for third party claims which includes breach of privacy.</w:t>
            </w:r>
          </w:p>
          <w:p w14:paraId="4484ABB5" w14:textId="77777777" w:rsidR="00014181" w:rsidRDefault="00E44846" w:rsidP="00481CE6">
            <w:pPr>
              <w:pStyle w:val="Default"/>
              <w:numPr>
                <w:ilvl w:val="0"/>
                <w:numId w:val="27"/>
              </w:numPr>
              <w:spacing w:before="110" w:after="110"/>
              <w:ind w:left="176" w:hanging="142"/>
              <w:rPr>
                <w:rFonts w:ascii="Arial" w:hAnsi="Arial" w:cs="Arial"/>
                <w:sz w:val="20"/>
                <w:szCs w:val="20"/>
              </w:rPr>
            </w:pPr>
            <w:r w:rsidRPr="00634E17">
              <w:rPr>
                <w:rFonts w:ascii="Arial" w:hAnsi="Arial" w:cs="Arial"/>
                <w:sz w:val="20"/>
                <w:szCs w:val="20"/>
              </w:rPr>
              <w:t xml:space="preserve">Contract contains </w:t>
            </w:r>
            <w:r>
              <w:rPr>
                <w:rFonts w:ascii="Arial" w:hAnsi="Arial" w:cs="Arial"/>
                <w:sz w:val="20"/>
                <w:szCs w:val="20"/>
              </w:rPr>
              <w:t>obligations to comply with privacy law and Commonwealth security requirements</w:t>
            </w:r>
            <w:r w:rsidR="00EF1117">
              <w:rPr>
                <w:rFonts w:ascii="Arial" w:hAnsi="Arial" w:cs="Arial"/>
                <w:sz w:val="20"/>
                <w:szCs w:val="20"/>
              </w:rPr>
              <w:t>.</w:t>
            </w:r>
          </w:p>
          <w:p w14:paraId="30BC0809" w14:textId="77777777" w:rsidR="00BB71C5" w:rsidRPr="00634E17" w:rsidRDefault="00BB71C5" w:rsidP="00481CE6">
            <w:pPr>
              <w:pStyle w:val="Default"/>
              <w:numPr>
                <w:ilvl w:val="0"/>
                <w:numId w:val="27"/>
              </w:numPr>
              <w:spacing w:before="110" w:after="110"/>
              <w:ind w:left="176" w:hanging="142"/>
              <w:rPr>
                <w:rFonts w:ascii="Arial" w:hAnsi="Arial" w:cs="Arial"/>
                <w:sz w:val="20"/>
                <w:szCs w:val="20"/>
              </w:rPr>
            </w:pPr>
            <w:r>
              <w:rPr>
                <w:rFonts w:ascii="Arial" w:hAnsi="Arial" w:cs="Arial"/>
                <w:sz w:val="20"/>
                <w:szCs w:val="20"/>
              </w:rPr>
              <w:t>Liability is uncapped.</w:t>
            </w:r>
          </w:p>
        </w:tc>
        <w:tc>
          <w:tcPr>
            <w:tcW w:w="1223" w:type="dxa"/>
            <w:tcBorders>
              <w:top w:val="single" w:sz="8" w:space="0" w:color="000000"/>
              <w:left w:val="single" w:sz="8" w:space="0" w:color="000000"/>
              <w:bottom w:val="single" w:sz="8" w:space="0" w:color="000000"/>
              <w:right w:val="single" w:sz="8" w:space="0" w:color="000000"/>
            </w:tcBorders>
          </w:tcPr>
          <w:p w14:paraId="388D0D79" w14:textId="77777777" w:rsidR="00014181" w:rsidRPr="00634E17" w:rsidRDefault="00014181" w:rsidP="00571A1C">
            <w:pPr>
              <w:pStyle w:val="Default"/>
              <w:spacing w:before="110" w:after="110"/>
              <w:rPr>
                <w:rFonts w:ascii="Arial" w:hAnsi="Arial" w:cs="Arial"/>
                <w:sz w:val="20"/>
                <w:szCs w:val="20"/>
              </w:rPr>
            </w:pPr>
            <w:r w:rsidRPr="00634E17">
              <w:rPr>
                <w:rFonts w:ascii="Arial" w:hAnsi="Arial" w:cs="Arial"/>
                <w:sz w:val="20"/>
                <w:szCs w:val="20"/>
              </w:rPr>
              <w:t xml:space="preserve">Unlikely </w:t>
            </w:r>
          </w:p>
        </w:tc>
        <w:tc>
          <w:tcPr>
            <w:tcW w:w="1540" w:type="dxa"/>
            <w:tcBorders>
              <w:top w:val="single" w:sz="8" w:space="0" w:color="000000"/>
              <w:left w:val="single" w:sz="8" w:space="0" w:color="000000"/>
              <w:bottom w:val="single" w:sz="8" w:space="0" w:color="000000"/>
              <w:right w:val="single" w:sz="8" w:space="0" w:color="000000"/>
            </w:tcBorders>
          </w:tcPr>
          <w:p w14:paraId="164AAA62" w14:textId="77777777" w:rsidR="00014181" w:rsidRPr="00634E17" w:rsidRDefault="00014181" w:rsidP="00571A1C">
            <w:pPr>
              <w:pStyle w:val="Default"/>
              <w:spacing w:before="110" w:after="110"/>
              <w:rPr>
                <w:rFonts w:ascii="Arial" w:hAnsi="Arial" w:cs="Arial"/>
                <w:sz w:val="20"/>
                <w:szCs w:val="20"/>
              </w:rPr>
            </w:pPr>
            <w:r w:rsidRPr="00634E17">
              <w:rPr>
                <w:rFonts w:ascii="Arial" w:hAnsi="Arial" w:cs="Arial"/>
                <w:sz w:val="20"/>
                <w:szCs w:val="20"/>
              </w:rPr>
              <w:t xml:space="preserve">Minor </w:t>
            </w:r>
          </w:p>
        </w:tc>
        <w:tc>
          <w:tcPr>
            <w:tcW w:w="1078" w:type="dxa"/>
            <w:tcBorders>
              <w:top w:val="single" w:sz="8" w:space="0" w:color="000000"/>
              <w:left w:val="single" w:sz="8" w:space="0" w:color="000000"/>
              <w:bottom w:val="single" w:sz="8" w:space="0" w:color="000000"/>
              <w:right w:val="single" w:sz="8" w:space="0" w:color="000000"/>
            </w:tcBorders>
          </w:tcPr>
          <w:p w14:paraId="497739C2" w14:textId="77777777" w:rsidR="00014181" w:rsidRPr="00634E17" w:rsidRDefault="00014181" w:rsidP="00571A1C">
            <w:pPr>
              <w:pStyle w:val="Default"/>
              <w:spacing w:before="110" w:after="110"/>
              <w:rPr>
                <w:rFonts w:ascii="Arial" w:hAnsi="Arial" w:cs="Arial"/>
                <w:sz w:val="20"/>
                <w:szCs w:val="20"/>
              </w:rPr>
            </w:pPr>
            <w:r w:rsidRPr="00634E17">
              <w:rPr>
                <w:rFonts w:ascii="Arial" w:hAnsi="Arial" w:cs="Arial"/>
                <w:sz w:val="20"/>
                <w:szCs w:val="20"/>
              </w:rPr>
              <w:t xml:space="preserve">Low </w:t>
            </w:r>
          </w:p>
        </w:tc>
      </w:tr>
      <w:tr w:rsidR="008B1755" w:rsidRPr="00634E17" w14:paraId="4CA0B298" w14:textId="77777777" w:rsidTr="00871A65">
        <w:tc>
          <w:tcPr>
            <w:tcW w:w="1809" w:type="dxa"/>
            <w:tcBorders>
              <w:top w:val="single" w:sz="8" w:space="0" w:color="000000"/>
              <w:left w:val="single" w:sz="8" w:space="0" w:color="000000"/>
              <w:bottom w:val="single" w:sz="8" w:space="0" w:color="000000"/>
              <w:right w:val="single" w:sz="8" w:space="0" w:color="000000"/>
            </w:tcBorders>
          </w:tcPr>
          <w:p w14:paraId="6C969766" w14:textId="77777777" w:rsidR="008B1755" w:rsidRPr="00E44846" w:rsidRDefault="008B1755" w:rsidP="00571A1C">
            <w:pPr>
              <w:pStyle w:val="Default"/>
              <w:numPr>
                <w:ilvl w:val="0"/>
                <w:numId w:val="1"/>
              </w:numPr>
              <w:tabs>
                <w:tab w:val="clear" w:pos="720"/>
                <w:tab w:val="left" w:pos="284"/>
              </w:tabs>
              <w:spacing w:before="110" w:after="110"/>
              <w:ind w:left="0" w:firstLine="0"/>
              <w:rPr>
                <w:rFonts w:ascii="Arial" w:hAnsi="Arial" w:cs="Arial"/>
                <w:sz w:val="20"/>
                <w:szCs w:val="20"/>
              </w:rPr>
            </w:pPr>
            <w:r>
              <w:rPr>
                <w:rFonts w:ascii="Arial" w:hAnsi="Arial" w:cs="Arial"/>
                <w:sz w:val="20"/>
                <w:szCs w:val="20"/>
              </w:rPr>
              <w:t xml:space="preserve"> [</w:t>
            </w:r>
            <w:r w:rsidRPr="00A16EE6">
              <w:rPr>
                <w:rFonts w:ascii="Arial" w:hAnsi="Arial" w:cs="Arial"/>
                <w:sz w:val="20"/>
                <w:szCs w:val="20"/>
                <w:highlight w:val="lightGray"/>
              </w:rPr>
              <w:t>INSERT PROJECT SPECIFIC RISKS</w:t>
            </w:r>
            <w:r>
              <w:rPr>
                <w:rFonts w:ascii="Arial" w:hAnsi="Arial" w:cs="Arial"/>
                <w:sz w:val="20"/>
                <w:szCs w:val="20"/>
              </w:rPr>
              <w:t>]</w:t>
            </w:r>
          </w:p>
        </w:tc>
        <w:tc>
          <w:tcPr>
            <w:tcW w:w="1560" w:type="dxa"/>
            <w:tcBorders>
              <w:top w:val="single" w:sz="8" w:space="0" w:color="000000"/>
              <w:left w:val="single" w:sz="8" w:space="0" w:color="000000"/>
              <w:bottom w:val="single" w:sz="8" w:space="0" w:color="000000"/>
              <w:right w:val="single" w:sz="8" w:space="0" w:color="000000"/>
            </w:tcBorders>
          </w:tcPr>
          <w:p w14:paraId="683B0D07" w14:textId="77777777" w:rsidR="008B1755" w:rsidRDefault="008B1755" w:rsidP="00571A1C">
            <w:pPr>
              <w:pStyle w:val="Default"/>
              <w:spacing w:before="110" w:after="110"/>
              <w:ind w:left="34"/>
              <w:rPr>
                <w:rFonts w:ascii="Arial" w:hAnsi="Arial" w:cs="Arial"/>
                <w:sz w:val="20"/>
                <w:szCs w:val="20"/>
              </w:rPr>
            </w:pPr>
          </w:p>
        </w:tc>
        <w:tc>
          <w:tcPr>
            <w:tcW w:w="1439" w:type="dxa"/>
            <w:tcBorders>
              <w:top w:val="single" w:sz="8" w:space="0" w:color="000000"/>
              <w:left w:val="single" w:sz="8" w:space="0" w:color="000000"/>
              <w:bottom w:val="single" w:sz="8" w:space="0" w:color="000000"/>
              <w:right w:val="single" w:sz="8" w:space="0" w:color="000000"/>
            </w:tcBorders>
          </w:tcPr>
          <w:p w14:paraId="3C6FB1D1" w14:textId="77777777" w:rsidR="008B1755" w:rsidRPr="00634E17" w:rsidRDefault="008B1755" w:rsidP="00571A1C">
            <w:pPr>
              <w:pStyle w:val="Default"/>
              <w:spacing w:before="110" w:after="110"/>
              <w:rPr>
                <w:rFonts w:ascii="Arial" w:hAnsi="Arial" w:cs="Arial"/>
                <w:sz w:val="20"/>
                <w:szCs w:val="20"/>
              </w:rPr>
            </w:pPr>
          </w:p>
        </w:tc>
        <w:tc>
          <w:tcPr>
            <w:tcW w:w="2671" w:type="dxa"/>
            <w:tcBorders>
              <w:top w:val="single" w:sz="8" w:space="0" w:color="000000"/>
              <w:left w:val="single" w:sz="8" w:space="0" w:color="000000"/>
              <w:bottom w:val="single" w:sz="8" w:space="0" w:color="000000"/>
              <w:right w:val="single" w:sz="8" w:space="0" w:color="000000"/>
            </w:tcBorders>
          </w:tcPr>
          <w:p w14:paraId="24056476" w14:textId="77777777" w:rsidR="008B1755" w:rsidRPr="00634E17" w:rsidRDefault="008B1755" w:rsidP="00571A1C">
            <w:pPr>
              <w:pStyle w:val="Default"/>
              <w:spacing w:before="110" w:after="110"/>
              <w:rPr>
                <w:rFonts w:ascii="Arial" w:hAnsi="Arial" w:cs="Arial"/>
                <w:sz w:val="20"/>
                <w:szCs w:val="20"/>
              </w:rPr>
            </w:pPr>
          </w:p>
        </w:tc>
        <w:tc>
          <w:tcPr>
            <w:tcW w:w="3578" w:type="dxa"/>
            <w:tcBorders>
              <w:top w:val="single" w:sz="8" w:space="0" w:color="000000"/>
              <w:left w:val="single" w:sz="8" w:space="0" w:color="000000"/>
              <w:bottom w:val="single" w:sz="8" w:space="0" w:color="000000"/>
              <w:right w:val="single" w:sz="8" w:space="0" w:color="000000"/>
            </w:tcBorders>
          </w:tcPr>
          <w:p w14:paraId="7DEBCBEB" w14:textId="77777777" w:rsidR="008B1755" w:rsidRPr="00634E17" w:rsidRDefault="008B1755" w:rsidP="00571A1C">
            <w:pPr>
              <w:pStyle w:val="Default"/>
              <w:spacing w:before="110" w:after="110"/>
              <w:ind w:left="34"/>
              <w:rPr>
                <w:rFonts w:ascii="Arial" w:hAnsi="Arial" w:cs="Arial"/>
                <w:sz w:val="20"/>
                <w:szCs w:val="20"/>
              </w:rPr>
            </w:pPr>
          </w:p>
        </w:tc>
        <w:tc>
          <w:tcPr>
            <w:tcW w:w="1223" w:type="dxa"/>
            <w:tcBorders>
              <w:top w:val="single" w:sz="8" w:space="0" w:color="000000"/>
              <w:left w:val="single" w:sz="8" w:space="0" w:color="000000"/>
              <w:bottom w:val="single" w:sz="8" w:space="0" w:color="000000"/>
              <w:right w:val="single" w:sz="8" w:space="0" w:color="000000"/>
            </w:tcBorders>
          </w:tcPr>
          <w:p w14:paraId="59FAFA65" w14:textId="77777777" w:rsidR="008B1755" w:rsidRPr="00634E17" w:rsidRDefault="008B1755" w:rsidP="00571A1C">
            <w:pPr>
              <w:pStyle w:val="Default"/>
              <w:spacing w:before="110" w:after="110"/>
              <w:rPr>
                <w:rFonts w:ascii="Arial" w:hAnsi="Arial" w:cs="Arial"/>
                <w:sz w:val="20"/>
                <w:szCs w:val="20"/>
              </w:rPr>
            </w:pPr>
          </w:p>
        </w:tc>
        <w:tc>
          <w:tcPr>
            <w:tcW w:w="1540" w:type="dxa"/>
            <w:tcBorders>
              <w:top w:val="single" w:sz="8" w:space="0" w:color="000000"/>
              <w:left w:val="single" w:sz="8" w:space="0" w:color="000000"/>
              <w:bottom w:val="single" w:sz="8" w:space="0" w:color="000000"/>
              <w:right w:val="single" w:sz="8" w:space="0" w:color="000000"/>
            </w:tcBorders>
          </w:tcPr>
          <w:p w14:paraId="0C64D0A2" w14:textId="77777777" w:rsidR="008B1755" w:rsidRPr="00634E17" w:rsidRDefault="008B1755" w:rsidP="00571A1C">
            <w:pPr>
              <w:pStyle w:val="Default"/>
              <w:spacing w:before="110" w:after="110"/>
              <w:rPr>
                <w:rFonts w:ascii="Arial" w:hAnsi="Arial" w:cs="Arial"/>
                <w:sz w:val="20"/>
                <w:szCs w:val="20"/>
              </w:rPr>
            </w:pPr>
          </w:p>
        </w:tc>
        <w:tc>
          <w:tcPr>
            <w:tcW w:w="1078" w:type="dxa"/>
            <w:tcBorders>
              <w:top w:val="single" w:sz="8" w:space="0" w:color="000000"/>
              <w:left w:val="single" w:sz="8" w:space="0" w:color="000000"/>
              <w:bottom w:val="single" w:sz="8" w:space="0" w:color="000000"/>
              <w:right w:val="single" w:sz="8" w:space="0" w:color="000000"/>
            </w:tcBorders>
          </w:tcPr>
          <w:p w14:paraId="12A48576" w14:textId="77777777" w:rsidR="008B1755" w:rsidRPr="00634E17" w:rsidRDefault="008B1755" w:rsidP="00571A1C">
            <w:pPr>
              <w:pStyle w:val="Default"/>
              <w:spacing w:before="110" w:after="110"/>
              <w:rPr>
                <w:rFonts w:ascii="Arial" w:hAnsi="Arial" w:cs="Arial"/>
                <w:sz w:val="20"/>
                <w:szCs w:val="20"/>
              </w:rPr>
            </w:pPr>
          </w:p>
        </w:tc>
      </w:tr>
    </w:tbl>
    <w:p w14:paraId="4BF049EF" w14:textId="77777777" w:rsidR="00E81DA1" w:rsidRDefault="00E81DA1" w:rsidP="00B15F15">
      <w:pPr>
        <w:sectPr w:rsidR="00E81DA1" w:rsidSect="00211DF0">
          <w:headerReference w:type="default" r:id="rId18"/>
          <w:footerReference w:type="default" r:id="rId19"/>
          <w:pgSz w:w="16838" w:h="11906" w:orient="landscape"/>
          <w:pgMar w:top="1797" w:right="1118" w:bottom="1797" w:left="1440" w:header="709" w:footer="283" w:gutter="0"/>
          <w:cols w:space="708"/>
          <w:docGrid w:linePitch="360"/>
        </w:sectPr>
      </w:pPr>
    </w:p>
    <w:p w14:paraId="5C51320F" w14:textId="03E8B3F8" w:rsidR="00B0366D" w:rsidRDefault="007579B3" w:rsidP="00A06B6D">
      <w:pPr>
        <w:pStyle w:val="Table10ptHeading-ASDEFCON"/>
      </w:pPr>
      <w:r>
        <w:lastRenderedPageBreak/>
        <w:t xml:space="preserve">Table 2 – </w:t>
      </w:r>
      <w:r w:rsidR="00B0366D">
        <w:t xml:space="preserve">Proposed Liability Caps </w:t>
      </w:r>
    </w:p>
    <w:p w14:paraId="3603D625" w14:textId="77777777" w:rsidR="002F2D2E" w:rsidRDefault="00332B4B" w:rsidP="00211DF0">
      <w:pPr>
        <w:pStyle w:val="NoteToDrafters-ASDEFCON"/>
        <w:keepNext w:val="0"/>
        <w:ind w:left="-294" w:right="-292"/>
      </w:pPr>
      <w:r>
        <w:t xml:space="preserve">Note to drafters: </w:t>
      </w:r>
      <w:r w:rsidR="009810D4">
        <w:t xml:space="preserve"> </w:t>
      </w:r>
      <w:r>
        <w:t xml:space="preserve">The </w:t>
      </w:r>
      <w:r w:rsidR="009810D4">
        <w:t>Proposed Liability Caps</w:t>
      </w:r>
      <w:r>
        <w:t xml:space="preserve"> </w:t>
      </w:r>
      <w:r w:rsidR="00243A1D">
        <w:t>in this</w:t>
      </w:r>
      <w:r>
        <w:t xml:space="preserve"> Table 2 should assess the risk</w:t>
      </w:r>
      <w:r w:rsidR="009810D4">
        <w:t>s</w:t>
      </w:r>
      <w:r>
        <w:t xml:space="preserve"> </w:t>
      </w:r>
      <w:r w:rsidR="009810D4">
        <w:t xml:space="preserve">from the Contract </w:t>
      </w:r>
      <w:r w:rsidR="003A55A7">
        <w:t xml:space="preserve">Liability </w:t>
      </w:r>
      <w:r w:rsidR="009810D4">
        <w:t xml:space="preserve">Risk Log in Table 1 that are relevant </w:t>
      </w:r>
      <w:r>
        <w:t xml:space="preserve">to the ASDEFCON liability caps.  In performing this assessment, drafters should consider the Maximum Probable Loss that could be </w:t>
      </w:r>
      <w:r w:rsidR="008E488F">
        <w:t xml:space="preserve">suffered under any one cap for the life of the proposed contract.  </w:t>
      </w:r>
      <w:r w:rsidR="00CA7B27">
        <w:t>L</w:t>
      </w:r>
      <w:r w:rsidR="009E5134">
        <w:t>iability</w:t>
      </w:r>
      <w:r w:rsidR="00243A1D">
        <w:t xml:space="preserve"> for</w:t>
      </w:r>
      <w:r w:rsidR="009E5134">
        <w:t xml:space="preserve"> risks</w:t>
      </w:r>
      <w:r w:rsidR="00CA7B27">
        <w:t xml:space="preserve"> which are identified in Table 1 but not included in Table 2 </w:t>
      </w:r>
      <w:r w:rsidR="009E5134">
        <w:t>(being liability risks 4</w:t>
      </w:r>
      <w:r w:rsidR="000502D9">
        <w:t>,</w:t>
      </w:r>
      <w:r w:rsidR="009E5134">
        <w:t xml:space="preserve"> 7</w:t>
      </w:r>
      <w:r w:rsidR="000502D9">
        <w:t xml:space="preserve"> and 9</w:t>
      </w:r>
      <w:r w:rsidR="009E5134">
        <w:t xml:space="preserve">) </w:t>
      </w:r>
      <w:r w:rsidR="00CA7B27">
        <w:t>cannot be capped</w:t>
      </w:r>
      <w:r w:rsidR="00B809DB">
        <w:t>.</w:t>
      </w:r>
      <w:r w:rsidR="00FF1006">
        <w:t xml:space="preserve"> </w:t>
      </w:r>
      <w:r w:rsidR="00243A1D">
        <w:t xml:space="preserve">Further guidance on what can and cannot be capped can be found in the ASDEFCON Liability Handbook. </w:t>
      </w:r>
      <w:r w:rsidR="00B306EF">
        <w:t xml:space="preserve"> </w:t>
      </w:r>
    </w:p>
    <w:p w14:paraId="61920FED" w14:textId="4C3B0F0D" w:rsidR="006277D8" w:rsidRDefault="006277D8" w:rsidP="00211DF0">
      <w:pPr>
        <w:pStyle w:val="NoteToDrafters-ASDEFCON"/>
        <w:keepNext w:val="0"/>
        <w:ind w:left="-294" w:right="-292"/>
      </w:pPr>
      <w:r>
        <w:t>The following describes the purpose of each column in Table 2:</w:t>
      </w:r>
    </w:p>
    <w:p w14:paraId="6C61B6B7" w14:textId="46605414" w:rsidR="006277D8" w:rsidRDefault="006277D8" w:rsidP="00211DF0">
      <w:pPr>
        <w:pStyle w:val="NoteToDrafters-ASDEFCON"/>
        <w:keepNext w:val="0"/>
        <w:ind w:left="-294" w:right="-292"/>
      </w:pPr>
      <w:r w:rsidRPr="006277D8">
        <w:rPr>
          <w:u w:val="single"/>
        </w:rPr>
        <w:t>Liability Cap</w:t>
      </w:r>
      <w:r w:rsidR="002F2D2E" w:rsidRPr="005E3793">
        <w:t xml:space="preserve">:  </w:t>
      </w:r>
      <w:r>
        <w:t xml:space="preserve">This column sets out the different types of liability cap in the contract.  This template adopts the </w:t>
      </w:r>
      <w:r w:rsidR="00C00151">
        <w:t xml:space="preserve">three separate aggregate </w:t>
      </w:r>
      <w:r>
        <w:t xml:space="preserve">liability caps </w:t>
      </w:r>
      <w:r w:rsidR="00C00151">
        <w:t>from</w:t>
      </w:r>
      <w:r>
        <w:t xml:space="preserve"> the ASDEFCON Strategic Materiel </w:t>
      </w:r>
      <w:r w:rsidR="00FF58AB">
        <w:t>V</w:t>
      </w:r>
      <w:r>
        <w:t>3.</w:t>
      </w:r>
      <w:r w:rsidR="005F7037">
        <w:t>1</w:t>
      </w:r>
      <w:r>
        <w:t xml:space="preserve"> template. </w:t>
      </w:r>
      <w:r w:rsidR="002F2D2E">
        <w:t xml:space="preserve"> </w:t>
      </w:r>
      <w:r w:rsidR="00C00151">
        <w:t>T</w:t>
      </w:r>
      <w:r>
        <w:t xml:space="preserve">here is also an option of including an </w:t>
      </w:r>
      <w:r w:rsidR="0042560C">
        <w:t>overall aggregate liability cap</w:t>
      </w:r>
      <w:r>
        <w:t>.</w:t>
      </w:r>
    </w:p>
    <w:p w14:paraId="4636519B" w14:textId="5386BF4F" w:rsidR="006277D8" w:rsidRDefault="006277D8" w:rsidP="008F7619">
      <w:pPr>
        <w:pStyle w:val="NoteToDrafters-ASDEFCON"/>
        <w:keepNext w:val="0"/>
        <w:ind w:left="-294" w:right="-292"/>
      </w:pPr>
      <w:r>
        <w:rPr>
          <w:u w:val="single"/>
        </w:rPr>
        <w:t>Assessment</w:t>
      </w:r>
      <w:r w:rsidR="002F2D2E" w:rsidRPr="005E3793">
        <w:t xml:space="preserve">:  </w:t>
      </w:r>
      <w:r>
        <w:t xml:space="preserve">The purpose of this column is to set out the </w:t>
      </w:r>
      <w:r w:rsidR="00344AD4">
        <w:t xml:space="preserve">financial </w:t>
      </w:r>
      <w:r w:rsidR="007C3544">
        <w:t xml:space="preserve">impact </w:t>
      </w:r>
      <w:r>
        <w:t xml:space="preserve">assessment of liability for each </w:t>
      </w:r>
      <w:r w:rsidR="0042560C">
        <w:t>type</w:t>
      </w:r>
      <w:r>
        <w:t xml:space="preserve"> of loss</w:t>
      </w:r>
      <w:r w:rsidR="0042560C">
        <w:t xml:space="preserve"> covered by the liability cap</w:t>
      </w:r>
      <w:r>
        <w:t xml:space="preserve">.  Drafters should group the relevant </w:t>
      </w:r>
      <w:r w:rsidR="00A678CA">
        <w:t>Maximum Probable Loss</w:t>
      </w:r>
      <w:r w:rsidR="008F7619">
        <w:t>(</w:t>
      </w:r>
      <w:r w:rsidR="00A678CA">
        <w:t>es</w:t>
      </w:r>
      <w:r w:rsidR="008F7619">
        <w:t>)</w:t>
      </w:r>
      <w:r>
        <w:t xml:space="preserve"> from Table 1</w:t>
      </w:r>
      <w:r w:rsidR="00A678CA">
        <w:t>,</w:t>
      </w:r>
      <w:r>
        <w:t xml:space="preserve"> </w:t>
      </w:r>
      <w:r w:rsidR="002F2D2E">
        <w:t xml:space="preserve">calculate </w:t>
      </w:r>
      <w:r w:rsidR="0034395B">
        <w:t xml:space="preserve">the total cumulative Maximum Probable Loss where there is more than one type of loss </w:t>
      </w:r>
      <w:r>
        <w:t>and then state whether</w:t>
      </w:r>
      <w:r w:rsidR="00A678CA">
        <w:t xml:space="preserve"> they propose a liability cap</w:t>
      </w:r>
      <w:r w:rsidR="008F7619">
        <w:t xml:space="preserve"> that is equal to or less than the </w:t>
      </w:r>
      <w:r w:rsidR="0034395B">
        <w:t xml:space="preserve">total cumulative </w:t>
      </w:r>
      <w:r w:rsidR="008F7619">
        <w:t>Maximum Probable Loss and why that amount is appropriate.</w:t>
      </w:r>
    </w:p>
    <w:p w14:paraId="19E8C431" w14:textId="73662B36" w:rsidR="006277D8" w:rsidRDefault="006277D8" w:rsidP="00211DF0">
      <w:pPr>
        <w:pStyle w:val="NoteToDrafters-ASDEFCON"/>
        <w:keepNext w:val="0"/>
        <w:ind w:left="-294" w:right="-292"/>
      </w:pPr>
      <w:r>
        <w:rPr>
          <w:u w:val="single"/>
        </w:rPr>
        <w:t>Maximum Probable Loss</w:t>
      </w:r>
      <w:r w:rsidR="002F2D2E" w:rsidRPr="005E3793">
        <w:t xml:space="preserve">:  </w:t>
      </w:r>
      <w:r w:rsidR="00E03375">
        <w:t xml:space="preserve">This column sets out the total cumulative </w:t>
      </w:r>
      <w:r>
        <w:t xml:space="preserve">Maximum Probable Loss </w:t>
      </w:r>
      <w:r w:rsidR="00E03375">
        <w:t xml:space="preserve">for the liability cap derived from the Assessment column.  </w:t>
      </w:r>
    </w:p>
    <w:p w14:paraId="0B9C0339" w14:textId="57B380B5" w:rsidR="006277D8" w:rsidRDefault="006277D8" w:rsidP="00211DF0">
      <w:pPr>
        <w:pStyle w:val="NoteToDrafters-ASDEFCON"/>
        <w:keepNext w:val="0"/>
        <w:ind w:left="-294" w:right="-292"/>
      </w:pPr>
      <w:r>
        <w:rPr>
          <w:u w:val="single"/>
        </w:rPr>
        <w:t>Proposed Liability Cap</w:t>
      </w:r>
      <w:r w:rsidR="002F2D2E" w:rsidRPr="00A22B45">
        <w:t xml:space="preserve">:  </w:t>
      </w:r>
      <w:r>
        <w:t>This co</w:t>
      </w:r>
      <w:r w:rsidR="00C5365F">
        <w:t>lumn should set out the dollar amount</w:t>
      </w:r>
      <w:r>
        <w:t xml:space="preserve"> that is proposed to be included in the Details Schedule of the contract for each </w:t>
      </w:r>
      <w:r w:rsidR="00C5365F">
        <w:t>liability cap</w:t>
      </w:r>
      <w:r>
        <w:t xml:space="preserve">.  Liability caps provide certainty to contractors regarding their assumption of risk and have a direct influence on overall value for money. </w:t>
      </w:r>
      <w:r w:rsidR="00A22B45">
        <w:t xml:space="preserve"> </w:t>
      </w:r>
      <w:r>
        <w:t xml:space="preserve">As a starting proposition, the liability cap should be equal to or less than the Maximum Probable Loss.  </w:t>
      </w:r>
      <w:r w:rsidR="004862E0">
        <w:t>To avoid contracts becoming unaffordable, d</w:t>
      </w:r>
      <w:r>
        <w:t xml:space="preserve">rafters should consider whether it is appropriate to include a lesser amount </w:t>
      </w:r>
      <w:r w:rsidR="006815C1">
        <w:t>(</w:t>
      </w:r>
      <w:r w:rsidR="005A35B8" w:rsidRPr="00D913EC">
        <w:t>e.g.</w:t>
      </w:r>
      <w:r w:rsidR="006815C1">
        <w:t xml:space="preserve"> </w:t>
      </w:r>
      <w:r>
        <w:t>by taking into account the potential likelihood of all the cumulative risk events occurring</w:t>
      </w:r>
      <w:r w:rsidR="006815C1">
        <w:t>)</w:t>
      </w:r>
      <w:r>
        <w:t xml:space="preserve"> and whether it is value for money to seek to recover the full loss of delay or loss of use of supplies.</w:t>
      </w:r>
    </w:p>
    <w:p w14:paraId="5FFCFA31" w14:textId="3C4715FC" w:rsidR="006277D8" w:rsidRDefault="006277D8" w:rsidP="00211DF0">
      <w:pPr>
        <w:pStyle w:val="NoteToDrafters-ASDEFCON"/>
        <w:keepNext w:val="0"/>
        <w:ind w:left="-294" w:right="-292"/>
      </w:pPr>
      <w:r>
        <w:t xml:space="preserve">As a general position, an </w:t>
      </w:r>
      <w:r w:rsidR="00C5365F">
        <w:t>overall liability cap</w:t>
      </w:r>
      <w:r>
        <w:t xml:space="preserve"> should be no less than the sum of the individual </w:t>
      </w:r>
      <w:r w:rsidR="00C5365F">
        <w:t>liability caps</w:t>
      </w:r>
      <w:r>
        <w:t>, as otherwise the Commonwealth may not be able to recover from the Contractor the full amount under each of the individual caps.</w:t>
      </w:r>
    </w:p>
    <w:p w14:paraId="4FEA5AC0" w14:textId="60779EE9" w:rsidR="006217AB" w:rsidRDefault="006277D8" w:rsidP="006217AB">
      <w:pPr>
        <w:pStyle w:val="NoteToDrafters-ASDEFCON"/>
        <w:keepNext w:val="0"/>
        <w:ind w:left="-294" w:right="-292"/>
      </w:pPr>
      <w:r>
        <w:rPr>
          <w:u w:val="single"/>
        </w:rPr>
        <w:t>Likelihood of exceeding proposed cap</w:t>
      </w:r>
      <w:r w:rsidR="002F2D2E" w:rsidRPr="005E3793">
        <w:t xml:space="preserve">:  </w:t>
      </w:r>
      <w:r w:rsidRPr="006277D8">
        <w:t xml:space="preserve">Each proposed cap is given a rating for the Likelihood of it being exceeded.  </w:t>
      </w:r>
      <w:r w:rsidR="00270D1E">
        <w:t>Given</w:t>
      </w:r>
      <w:r w:rsidRPr="006277D8">
        <w:t xml:space="preserve"> the Commonwealth will bear the </w:t>
      </w:r>
      <w:r w:rsidR="00270D1E">
        <w:t xml:space="preserve">financial </w:t>
      </w:r>
      <w:r w:rsidRPr="006277D8">
        <w:t>risk above the cap once a liability cap is reac</w:t>
      </w:r>
      <w:r w:rsidR="00AE210B">
        <w:t>hed</w:t>
      </w:r>
      <w:r w:rsidR="00270D1E">
        <w:t>, t</w:t>
      </w:r>
      <w:r w:rsidR="00A16EE6">
        <w:t xml:space="preserve">his likelihood assessment is a final check that the Proposed Liability Cap is </w:t>
      </w:r>
      <w:r w:rsidR="00DA6131">
        <w:t>appropriate</w:t>
      </w:r>
      <w:r w:rsidR="00270D1E">
        <w:t>.</w:t>
      </w:r>
      <w:r w:rsidR="00DA6131">
        <w:t xml:space="preserve"> </w:t>
      </w:r>
      <w:r w:rsidR="00270D1E">
        <w:t>H</w:t>
      </w:r>
      <w:r w:rsidR="00DA6131">
        <w:t xml:space="preserve">aving regard to the Maximum Probable Loss, if the likelihood of exceeding the Proposed Liability Cap is greater than unlikely, then potentially the Proposed Liability Cap is too low. </w:t>
      </w:r>
    </w:p>
    <w:tbl>
      <w:tblPr>
        <w:tblW w:w="14601" w:type="dxa"/>
        <w:tblInd w:w="-294" w:type="dxa"/>
        <w:tblBorders>
          <w:top w:val="nil"/>
          <w:left w:val="nil"/>
          <w:bottom w:val="nil"/>
          <w:right w:val="nil"/>
        </w:tblBorders>
        <w:tblLayout w:type="fixed"/>
        <w:tblLook w:val="0000" w:firstRow="0" w:lastRow="0" w:firstColumn="0" w:lastColumn="0" w:noHBand="0" w:noVBand="0"/>
      </w:tblPr>
      <w:tblGrid>
        <w:gridCol w:w="3608"/>
        <w:gridCol w:w="5900"/>
        <w:gridCol w:w="1600"/>
        <w:gridCol w:w="1600"/>
        <w:gridCol w:w="1893"/>
      </w:tblGrid>
      <w:tr w:rsidR="00A867B9" w:rsidRPr="00634E17" w14:paraId="3107E7DF" w14:textId="77777777" w:rsidTr="00211DF0">
        <w:trPr>
          <w:tblHeader/>
        </w:trPr>
        <w:tc>
          <w:tcPr>
            <w:tcW w:w="3608" w:type="dxa"/>
            <w:tcBorders>
              <w:top w:val="single" w:sz="8" w:space="0" w:color="000000"/>
              <w:left w:val="single" w:sz="8" w:space="0" w:color="000000"/>
              <w:bottom w:val="single" w:sz="8" w:space="0" w:color="000000"/>
              <w:right w:val="single" w:sz="8" w:space="0" w:color="000000"/>
            </w:tcBorders>
            <w:shd w:val="clear" w:color="auto" w:fill="D8D8D8"/>
          </w:tcPr>
          <w:p w14:paraId="3BA80069" w14:textId="77777777" w:rsidR="00A867B9" w:rsidRPr="00634E17" w:rsidRDefault="00A867B9" w:rsidP="00E81DA1">
            <w:pPr>
              <w:pStyle w:val="Default"/>
              <w:spacing w:before="110" w:after="110"/>
              <w:rPr>
                <w:rFonts w:ascii="Arial" w:hAnsi="Arial" w:cs="Arial"/>
                <w:sz w:val="20"/>
                <w:szCs w:val="20"/>
              </w:rPr>
            </w:pPr>
            <w:r>
              <w:rPr>
                <w:rFonts w:ascii="Arial" w:hAnsi="Arial" w:cs="Arial"/>
                <w:b/>
                <w:bCs/>
                <w:sz w:val="20"/>
                <w:szCs w:val="20"/>
              </w:rPr>
              <w:t>Liability</w:t>
            </w:r>
            <w:r w:rsidRPr="00634E17">
              <w:rPr>
                <w:rFonts w:ascii="Arial" w:hAnsi="Arial" w:cs="Arial"/>
                <w:b/>
                <w:bCs/>
                <w:sz w:val="20"/>
                <w:szCs w:val="20"/>
              </w:rPr>
              <w:t xml:space="preserve"> </w:t>
            </w:r>
            <w:r w:rsidR="00F869F4">
              <w:rPr>
                <w:rFonts w:ascii="Arial" w:hAnsi="Arial" w:cs="Arial"/>
                <w:b/>
                <w:bCs/>
                <w:sz w:val="20"/>
                <w:szCs w:val="20"/>
              </w:rPr>
              <w:t>Cap</w:t>
            </w:r>
          </w:p>
        </w:tc>
        <w:tc>
          <w:tcPr>
            <w:tcW w:w="5900" w:type="dxa"/>
            <w:tcBorders>
              <w:top w:val="single" w:sz="8" w:space="0" w:color="000000"/>
              <w:left w:val="single" w:sz="8" w:space="0" w:color="000000"/>
              <w:bottom w:val="single" w:sz="8" w:space="0" w:color="000000"/>
              <w:right w:val="single" w:sz="8" w:space="0" w:color="000000"/>
            </w:tcBorders>
            <w:shd w:val="clear" w:color="auto" w:fill="D8D8D8"/>
          </w:tcPr>
          <w:p w14:paraId="37248A4C" w14:textId="77777777" w:rsidR="00A867B9" w:rsidRPr="00593BBB" w:rsidRDefault="00A867B9" w:rsidP="00E81DA1">
            <w:pPr>
              <w:pStyle w:val="Default"/>
              <w:spacing w:before="110" w:after="110"/>
              <w:rPr>
                <w:rFonts w:ascii="Arial" w:hAnsi="Arial" w:cs="Arial"/>
                <w:b/>
                <w:sz w:val="20"/>
                <w:szCs w:val="20"/>
              </w:rPr>
            </w:pPr>
            <w:r>
              <w:rPr>
                <w:rFonts w:ascii="Arial" w:hAnsi="Arial" w:cs="Arial"/>
                <w:b/>
                <w:sz w:val="20"/>
                <w:szCs w:val="20"/>
              </w:rPr>
              <w:t>Assessment</w:t>
            </w:r>
          </w:p>
        </w:tc>
        <w:tc>
          <w:tcPr>
            <w:tcW w:w="1600" w:type="dxa"/>
            <w:tcBorders>
              <w:top w:val="single" w:sz="8" w:space="0" w:color="000000"/>
              <w:left w:val="single" w:sz="8" w:space="0" w:color="000000"/>
              <w:bottom w:val="single" w:sz="8" w:space="0" w:color="000000"/>
              <w:right w:val="single" w:sz="8" w:space="0" w:color="000000"/>
            </w:tcBorders>
            <w:shd w:val="clear" w:color="auto" w:fill="D8D8D8"/>
          </w:tcPr>
          <w:p w14:paraId="0FDA4A66" w14:textId="77777777" w:rsidR="00A867B9" w:rsidRPr="00593BBB" w:rsidRDefault="00A867B9" w:rsidP="00E81DA1">
            <w:pPr>
              <w:pStyle w:val="Default"/>
              <w:spacing w:before="110" w:after="110"/>
              <w:rPr>
                <w:rFonts w:ascii="Arial" w:hAnsi="Arial" w:cs="Arial"/>
                <w:b/>
                <w:sz w:val="20"/>
                <w:szCs w:val="20"/>
              </w:rPr>
            </w:pPr>
            <w:r>
              <w:rPr>
                <w:rFonts w:ascii="Arial" w:hAnsi="Arial" w:cs="Arial"/>
                <w:b/>
                <w:sz w:val="20"/>
                <w:szCs w:val="20"/>
              </w:rPr>
              <w:t>Maximum Probable Loss</w:t>
            </w:r>
          </w:p>
        </w:tc>
        <w:tc>
          <w:tcPr>
            <w:tcW w:w="1600" w:type="dxa"/>
            <w:tcBorders>
              <w:top w:val="single" w:sz="8" w:space="0" w:color="000000"/>
              <w:left w:val="single" w:sz="8" w:space="0" w:color="000000"/>
              <w:bottom w:val="single" w:sz="8" w:space="0" w:color="000000"/>
              <w:right w:val="single" w:sz="8" w:space="0" w:color="000000"/>
            </w:tcBorders>
            <w:shd w:val="clear" w:color="auto" w:fill="D8D8D8"/>
          </w:tcPr>
          <w:p w14:paraId="4464D4CA" w14:textId="77777777" w:rsidR="00A867B9" w:rsidRPr="00C41095" w:rsidRDefault="00A867B9" w:rsidP="00E81DA1">
            <w:pPr>
              <w:pStyle w:val="Default"/>
              <w:spacing w:before="110" w:after="110"/>
              <w:rPr>
                <w:rFonts w:ascii="Arial" w:hAnsi="Arial" w:cs="Arial"/>
                <w:b/>
                <w:bCs/>
                <w:sz w:val="20"/>
                <w:szCs w:val="20"/>
              </w:rPr>
            </w:pPr>
            <w:r>
              <w:rPr>
                <w:rFonts w:ascii="Arial" w:hAnsi="Arial" w:cs="Arial"/>
                <w:b/>
                <w:bCs/>
                <w:sz w:val="20"/>
                <w:szCs w:val="20"/>
              </w:rPr>
              <w:t>Proposed Liability Cap</w:t>
            </w:r>
          </w:p>
        </w:tc>
        <w:tc>
          <w:tcPr>
            <w:tcW w:w="1893" w:type="dxa"/>
            <w:tcBorders>
              <w:top w:val="single" w:sz="8" w:space="0" w:color="000000"/>
              <w:left w:val="single" w:sz="8" w:space="0" w:color="000000"/>
              <w:bottom w:val="single" w:sz="8" w:space="0" w:color="000000"/>
              <w:right w:val="single" w:sz="8" w:space="0" w:color="000000"/>
            </w:tcBorders>
            <w:shd w:val="clear" w:color="auto" w:fill="D8D8D8"/>
          </w:tcPr>
          <w:p w14:paraId="6B4429E3" w14:textId="77777777" w:rsidR="00A867B9" w:rsidRPr="00C41095" w:rsidRDefault="00A867B9" w:rsidP="00E81DA1">
            <w:pPr>
              <w:pStyle w:val="Default"/>
              <w:spacing w:before="110" w:after="110"/>
              <w:rPr>
                <w:rFonts w:ascii="Arial" w:hAnsi="Arial" w:cs="Arial"/>
                <w:b/>
                <w:bCs/>
                <w:sz w:val="20"/>
                <w:szCs w:val="20"/>
              </w:rPr>
            </w:pPr>
            <w:r w:rsidRPr="00634E17">
              <w:rPr>
                <w:rFonts w:ascii="Arial" w:hAnsi="Arial" w:cs="Arial"/>
                <w:b/>
                <w:bCs/>
                <w:sz w:val="20"/>
                <w:szCs w:val="20"/>
              </w:rPr>
              <w:t>Likelihood</w:t>
            </w:r>
            <w:r>
              <w:rPr>
                <w:rFonts w:ascii="Arial" w:hAnsi="Arial" w:cs="Arial"/>
                <w:b/>
                <w:bCs/>
                <w:sz w:val="20"/>
                <w:szCs w:val="20"/>
              </w:rPr>
              <w:t xml:space="preserve"> of exceeding proposed cap</w:t>
            </w:r>
            <w:r w:rsidRPr="00634E17">
              <w:rPr>
                <w:rFonts w:ascii="Arial" w:hAnsi="Arial" w:cs="Arial"/>
                <w:b/>
                <w:bCs/>
                <w:sz w:val="20"/>
                <w:szCs w:val="20"/>
              </w:rPr>
              <w:t xml:space="preserve"> </w:t>
            </w:r>
          </w:p>
        </w:tc>
      </w:tr>
      <w:tr w:rsidR="00A867B9" w:rsidRPr="00634E17" w14:paraId="7ACEA76E" w14:textId="77777777" w:rsidTr="00211DF0">
        <w:tc>
          <w:tcPr>
            <w:tcW w:w="3608" w:type="dxa"/>
            <w:tcBorders>
              <w:top w:val="single" w:sz="8" w:space="0" w:color="000000"/>
              <w:left w:val="single" w:sz="8" w:space="0" w:color="000000"/>
              <w:bottom w:val="single" w:sz="8" w:space="0" w:color="000000"/>
              <w:right w:val="single" w:sz="8" w:space="0" w:color="000000"/>
            </w:tcBorders>
          </w:tcPr>
          <w:p w14:paraId="175719F9" w14:textId="448661CC" w:rsidR="00A867B9" w:rsidRPr="00634E17" w:rsidRDefault="00F33B93" w:rsidP="00CA1C9D">
            <w:pPr>
              <w:pStyle w:val="Default"/>
              <w:tabs>
                <w:tab w:val="left" w:pos="284"/>
              </w:tabs>
              <w:spacing w:before="110" w:after="110"/>
              <w:rPr>
                <w:rFonts w:ascii="Arial" w:hAnsi="Arial" w:cs="Arial"/>
                <w:sz w:val="20"/>
                <w:szCs w:val="20"/>
              </w:rPr>
            </w:pPr>
            <w:r>
              <w:rPr>
                <w:rFonts w:ascii="Arial" w:hAnsi="Arial" w:cs="Arial"/>
                <w:sz w:val="20"/>
                <w:szCs w:val="20"/>
              </w:rPr>
              <w:t>L</w:t>
            </w:r>
            <w:r w:rsidR="00A867B9" w:rsidRPr="00C41095">
              <w:rPr>
                <w:rFonts w:ascii="Arial" w:hAnsi="Arial" w:cs="Arial"/>
                <w:sz w:val="20"/>
                <w:szCs w:val="20"/>
              </w:rPr>
              <w:t xml:space="preserve">oss of or damage to Defence </w:t>
            </w:r>
            <w:r w:rsidR="00A867B9">
              <w:rPr>
                <w:rFonts w:ascii="Arial" w:hAnsi="Arial" w:cs="Arial"/>
                <w:sz w:val="20"/>
                <w:szCs w:val="20"/>
              </w:rPr>
              <w:t>property</w:t>
            </w:r>
            <w:r w:rsidR="00A867B9" w:rsidRPr="00C41095">
              <w:rPr>
                <w:rFonts w:ascii="Arial" w:hAnsi="Arial" w:cs="Arial"/>
                <w:sz w:val="20"/>
                <w:szCs w:val="20"/>
              </w:rPr>
              <w:t xml:space="preserve"> (other than </w:t>
            </w:r>
            <w:r w:rsidR="00A867B9">
              <w:rPr>
                <w:rFonts w:ascii="Arial" w:hAnsi="Arial" w:cs="Arial"/>
                <w:sz w:val="20"/>
                <w:szCs w:val="20"/>
              </w:rPr>
              <w:t>supplies)</w:t>
            </w:r>
            <w:r w:rsidR="00CA1C9D" w:rsidRPr="00634E17">
              <w:rPr>
                <w:rFonts w:ascii="Arial" w:hAnsi="Arial" w:cs="Arial"/>
                <w:sz w:val="20"/>
                <w:szCs w:val="20"/>
              </w:rPr>
              <w:t xml:space="preserve"> </w:t>
            </w:r>
          </w:p>
        </w:tc>
        <w:tc>
          <w:tcPr>
            <w:tcW w:w="5900" w:type="dxa"/>
            <w:tcBorders>
              <w:top w:val="single" w:sz="8" w:space="0" w:color="000000"/>
              <w:left w:val="single" w:sz="8" w:space="0" w:color="000000"/>
              <w:bottom w:val="single" w:sz="8" w:space="0" w:color="000000"/>
              <w:right w:val="single" w:sz="8" w:space="0" w:color="000000"/>
            </w:tcBorders>
          </w:tcPr>
          <w:p w14:paraId="038C35A2" w14:textId="77777777" w:rsidR="00A867B9" w:rsidRDefault="00F869F4" w:rsidP="00E81DA1">
            <w:pPr>
              <w:pStyle w:val="Default"/>
              <w:spacing w:before="110" w:after="110"/>
              <w:rPr>
                <w:rFonts w:ascii="Arial" w:hAnsi="Arial" w:cs="Arial"/>
                <w:sz w:val="20"/>
                <w:szCs w:val="20"/>
              </w:rPr>
            </w:pPr>
            <w:r>
              <w:rPr>
                <w:rFonts w:ascii="Arial" w:hAnsi="Arial" w:cs="Arial"/>
                <w:sz w:val="20"/>
                <w:szCs w:val="20"/>
              </w:rPr>
              <w:t xml:space="preserve">As assessed at </w:t>
            </w:r>
            <w:r w:rsidR="00C54CD2">
              <w:rPr>
                <w:rFonts w:ascii="Arial" w:hAnsi="Arial" w:cs="Arial"/>
                <w:sz w:val="20"/>
                <w:szCs w:val="20"/>
              </w:rPr>
              <w:t xml:space="preserve">liability </w:t>
            </w:r>
            <w:r w:rsidRPr="00FA5810">
              <w:rPr>
                <w:rFonts w:ascii="Arial" w:hAnsi="Arial" w:cs="Arial"/>
                <w:b/>
                <w:sz w:val="20"/>
                <w:szCs w:val="20"/>
              </w:rPr>
              <w:t>risk 6</w:t>
            </w:r>
            <w:r>
              <w:rPr>
                <w:rFonts w:ascii="Arial" w:hAnsi="Arial" w:cs="Arial"/>
                <w:sz w:val="20"/>
                <w:szCs w:val="20"/>
              </w:rPr>
              <w:t xml:space="preserve"> in Table 1 above, </w:t>
            </w:r>
            <w:r w:rsidR="00935B72">
              <w:rPr>
                <w:rFonts w:ascii="Arial" w:hAnsi="Arial" w:cs="Arial"/>
                <w:sz w:val="20"/>
                <w:szCs w:val="20"/>
              </w:rPr>
              <w:t>t</w:t>
            </w:r>
            <w:r w:rsidR="00A867B9">
              <w:rPr>
                <w:rFonts w:ascii="Arial" w:hAnsi="Arial" w:cs="Arial"/>
                <w:sz w:val="20"/>
                <w:szCs w:val="20"/>
              </w:rPr>
              <w:t xml:space="preserve">he </w:t>
            </w:r>
            <w:r w:rsidR="00935B72">
              <w:rPr>
                <w:rFonts w:ascii="Arial" w:hAnsi="Arial" w:cs="Arial"/>
                <w:sz w:val="20"/>
                <w:szCs w:val="20"/>
              </w:rPr>
              <w:t xml:space="preserve">Maximum Probable Loss </w:t>
            </w:r>
            <w:r w:rsidR="00A867B9">
              <w:rPr>
                <w:rFonts w:ascii="Arial" w:hAnsi="Arial" w:cs="Arial"/>
                <w:sz w:val="20"/>
                <w:szCs w:val="20"/>
              </w:rPr>
              <w:t>is assessed as</w:t>
            </w:r>
            <w:r w:rsidR="00391E4B">
              <w:rPr>
                <w:rFonts w:ascii="Arial" w:hAnsi="Arial" w:cs="Arial"/>
                <w:sz w:val="20"/>
                <w:szCs w:val="20"/>
              </w:rPr>
              <w:t xml:space="preserve"> </w:t>
            </w:r>
            <w:r w:rsidR="00A867B9">
              <w:rPr>
                <w:rFonts w:ascii="Arial" w:hAnsi="Arial" w:cs="Arial"/>
                <w:sz w:val="20"/>
                <w:szCs w:val="20"/>
              </w:rPr>
              <w:t>$</w:t>
            </w:r>
            <w:r w:rsidR="00935B72">
              <w:rPr>
                <w:rFonts w:ascii="Arial" w:hAnsi="Arial" w:cs="Arial"/>
                <w:sz w:val="20"/>
                <w:szCs w:val="20"/>
              </w:rPr>
              <w:t>75m</w:t>
            </w:r>
            <w:r w:rsidR="00351581">
              <w:rPr>
                <w:rFonts w:ascii="Arial" w:hAnsi="Arial" w:cs="Arial"/>
                <w:sz w:val="20"/>
                <w:szCs w:val="20"/>
              </w:rPr>
              <w:t>.</w:t>
            </w:r>
          </w:p>
          <w:p w14:paraId="34F248F7" w14:textId="77777777" w:rsidR="00E81DA1" w:rsidRPr="00634E17" w:rsidRDefault="00A867B9" w:rsidP="00E81DA1">
            <w:pPr>
              <w:pStyle w:val="Default"/>
              <w:spacing w:before="110" w:after="110"/>
              <w:rPr>
                <w:rFonts w:ascii="Arial" w:hAnsi="Arial" w:cs="Arial"/>
                <w:sz w:val="20"/>
                <w:szCs w:val="20"/>
              </w:rPr>
            </w:pPr>
            <w:r>
              <w:rPr>
                <w:rFonts w:ascii="Arial" w:hAnsi="Arial" w:cs="Arial"/>
                <w:sz w:val="20"/>
                <w:szCs w:val="20"/>
              </w:rPr>
              <w:lastRenderedPageBreak/>
              <w:t xml:space="preserve">The </w:t>
            </w:r>
            <w:r w:rsidR="00F33B93">
              <w:rPr>
                <w:rFonts w:ascii="Arial" w:hAnsi="Arial" w:cs="Arial"/>
                <w:sz w:val="20"/>
                <w:szCs w:val="20"/>
              </w:rPr>
              <w:t>p</w:t>
            </w:r>
            <w:r>
              <w:rPr>
                <w:rFonts w:ascii="Arial" w:hAnsi="Arial" w:cs="Arial"/>
                <w:sz w:val="20"/>
                <w:szCs w:val="20"/>
              </w:rPr>
              <w:t>roject pr</w:t>
            </w:r>
            <w:r w:rsidR="00935B72">
              <w:rPr>
                <w:rFonts w:ascii="Arial" w:hAnsi="Arial" w:cs="Arial"/>
                <w:sz w:val="20"/>
                <w:szCs w:val="20"/>
              </w:rPr>
              <w:t xml:space="preserve">oposes a liability cap that is </w:t>
            </w:r>
            <w:r>
              <w:rPr>
                <w:rFonts w:ascii="Arial" w:hAnsi="Arial" w:cs="Arial"/>
                <w:sz w:val="20"/>
                <w:szCs w:val="20"/>
              </w:rPr>
              <w:t>equal to the Maximum Probable Loss</w:t>
            </w:r>
            <w:r w:rsidR="00935B72">
              <w:rPr>
                <w:rFonts w:ascii="Arial" w:hAnsi="Arial" w:cs="Arial"/>
                <w:sz w:val="20"/>
                <w:szCs w:val="20"/>
              </w:rPr>
              <w:t xml:space="preserve">. </w:t>
            </w:r>
          </w:p>
        </w:tc>
        <w:tc>
          <w:tcPr>
            <w:tcW w:w="1600" w:type="dxa"/>
            <w:tcBorders>
              <w:top w:val="single" w:sz="8" w:space="0" w:color="000000"/>
              <w:left w:val="single" w:sz="8" w:space="0" w:color="000000"/>
              <w:bottom w:val="single" w:sz="8" w:space="0" w:color="000000"/>
              <w:right w:val="single" w:sz="8" w:space="0" w:color="000000"/>
            </w:tcBorders>
          </w:tcPr>
          <w:p w14:paraId="4DE5FFA6" w14:textId="77777777" w:rsidR="00A867B9" w:rsidRPr="00634E17" w:rsidRDefault="00A867B9" w:rsidP="00E81DA1">
            <w:pPr>
              <w:pStyle w:val="Default"/>
              <w:spacing w:before="110" w:after="110"/>
              <w:rPr>
                <w:rFonts w:ascii="Arial" w:hAnsi="Arial" w:cs="Arial"/>
                <w:sz w:val="20"/>
                <w:szCs w:val="20"/>
              </w:rPr>
            </w:pPr>
            <w:r>
              <w:rPr>
                <w:rFonts w:ascii="Arial" w:hAnsi="Arial" w:cs="Arial"/>
                <w:sz w:val="20"/>
                <w:szCs w:val="20"/>
              </w:rPr>
              <w:lastRenderedPageBreak/>
              <w:t>$</w:t>
            </w:r>
            <w:r w:rsidR="00935B72">
              <w:rPr>
                <w:rFonts w:ascii="Arial" w:hAnsi="Arial" w:cs="Arial"/>
                <w:sz w:val="20"/>
                <w:szCs w:val="20"/>
              </w:rPr>
              <w:t>75m</w:t>
            </w:r>
          </w:p>
        </w:tc>
        <w:tc>
          <w:tcPr>
            <w:tcW w:w="1600" w:type="dxa"/>
            <w:tcBorders>
              <w:top w:val="single" w:sz="8" w:space="0" w:color="000000"/>
              <w:left w:val="single" w:sz="8" w:space="0" w:color="000000"/>
              <w:bottom w:val="single" w:sz="8" w:space="0" w:color="000000"/>
              <w:right w:val="single" w:sz="8" w:space="0" w:color="000000"/>
            </w:tcBorders>
          </w:tcPr>
          <w:p w14:paraId="0B8D6DEE" w14:textId="77777777" w:rsidR="00A867B9" w:rsidRPr="00634E17" w:rsidRDefault="00A867B9" w:rsidP="00E81DA1">
            <w:pPr>
              <w:pStyle w:val="Default"/>
              <w:spacing w:before="110" w:after="110"/>
              <w:rPr>
                <w:rFonts w:ascii="Arial" w:hAnsi="Arial" w:cs="Arial"/>
                <w:sz w:val="20"/>
                <w:szCs w:val="20"/>
              </w:rPr>
            </w:pPr>
            <w:r>
              <w:rPr>
                <w:rFonts w:ascii="Arial" w:hAnsi="Arial" w:cs="Arial"/>
                <w:sz w:val="20"/>
                <w:szCs w:val="20"/>
              </w:rPr>
              <w:t>$</w:t>
            </w:r>
            <w:r w:rsidR="00935B72">
              <w:rPr>
                <w:rFonts w:ascii="Arial" w:hAnsi="Arial" w:cs="Arial"/>
                <w:sz w:val="20"/>
                <w:szCs w:val="20"/>
              </w:rPr>
              <w:t>75m</w:t>
            </w:r>
          </w:p>
        </w:tc>
        <w:tc>
          <w:tcPr>
            <w:tcW w:w="1893" w:type="dxa"/>
            <w:tcBorders>
              <w:top w:val="single" w:sz="8" w:space="0" w:color="000000"/>
              <w:left w:val="single" w:sz="8" w:space="0" w:color="000000"/>
              <w:bottom w:val="single" w:sz="8" w:space="0" w:color="000000"/>
              <w:right w:val="single" w:sz="8" w:space="0" w:color="000000"/>
            </w:tcBorders>
          </w:tcPr>
          <w:p w14:paraId="4BBF0925" w14:textId="77777777" w:rsidR="00A867B9" w:rsidRPr="00634E17" w:rsidRDefault="00935B72" w:rsidP="00E81DA1">
            <w:pPr>
              <w:pStyle w:val="Default"/>
              <w:spacing w:before="110" w:after="110"/>
              <w:rPr>
                <w:rFonts w:ascii="Arial" w:hAnsi="Arial" w:cs="Arial"/>
                <w:sz w:val="20"/>
                <w:szCs w:val="20"/>
              </w:rPr>
            </w:pPr>
            <w:r>
              <w:rPr>
                <w:rFonts w:ascii="Arial" w:hAnsi="Arial" w:cs="Arial"/>
                <w:sz w:val="20"/>
                <w:szCs w:val="20"/>
              </w:rPr>
              <w:t>Rare</w:t>
            </w:r>
          </w:p>
        </w:tc>
      </w:tr>
      <w:tr w:rsidR="00A867B9" w:rsidRPr="00634E17" w14:paraId="2FFBBC88" w14:textId="77777777" w:rsidTr="00211DF0">
        <w:tc>
          <w:tcPr>
            <w:tcW w:w="3608" w:type="dxa"/>
            <w:tcBorders>
              <w:top w:val="single" w:sz="8" w:space="0" w:color="000000"/>
              <w:left w:val="single" w:sz="8" w:space="0" w:color="000000"/>
              <w:bottom w:val="single" w:sz="8" w:space="0" w:color="000000"/>
              <w:right w:val="single" w:sz="8" w:space="0" w:color="000000"/>
            </w:tcBorders>
          </w:tcPr>
          <w:p w14:paraId="64FA22BE" w14:textId="77777777" w:rsidR="00A867B9" w:rsidRPr="00634E17" w:rsidRDefault="00A867B9" w:rsidP="00E81DA1">
            <w:pPr>
              <w:pStyle w:val="Default"/>
              <w:tabs>
                <w:tab w:val="left" w:pos="284"/>
              </w:tabs>
              <w:spacing w:before="110" w:after="110"/>
              <w:rPr>
                <w:rFonts w:ascii="Arial" w:hAnsi="Arial" w:cs="Arial"/>
                <w:sz w:val="20"/>
                <w:szCs w:val="20"/>
              </w:rPr>
            </w:pPr>
            <w:r w:rsidRPr="00C41095">
              <w:rPr>
                <w:rFonts w:ascii="Arial" w:hAnsi="Arial" w:cs="Arial"/>
                <w:sz w:val="20"/>
                <w:szCs w:val="20"/>
              </w:rPr>
              <w:t xml:space="preserve">Liquidated </w:t>
            </w:r>
            <w:r w:rsidR="00FF5771">
              <w:rPr>
                <w:rFonts w:ascii="Arial" w:hAnsi="Arial" w:cs="Arial"/>
                <w:sz w:val="20"/>
                <w:szCs w:val="20"/>
              </w:rPr>
              <w:t>d</w:t>
            </w:r>
            <w:r w:rsidRPr="00C41095">
              <w:rPr>
                <w:rFonts w:ascii="Arial" w:hAnsi="Arial" w:cs="Arial"/>
                <w:sz w:val="20"/>
                <w:szCs w:val="20"/>
              </w:rPr>
              <w:t>amages</w:t>
            </w:r>
          </w:p>
        </w:tc>
        <w:tc>
          <w:tcPr>
            <w:tcW w:w="5900" w:type="dxa"/>
            <w:tcBorders>
              <w:top w:val="single" w:sz="8" w:space="0" w:color="000000"/>
              <w:left w:val="single" w:sz="8" w:space="0" w:color="000000"/>
              <w:bottom w:val="single" w:sz="8" w:space="0" w:color="000000"/>
              <w:right w:val="single" w:sz="8" w:space="0" w:color="000000"/>
            </w:tcBorders>
          </w:tcPr>
          <w:p w14:paraId="6B13AF8F" w14:textId="0248EBCE" w:rsidR="00E81DA1" w:rsidRDefault="00F869F4" w:rsidP="00E81DA1">
            <w:pPr>
              <w:pStyle w:val="Default"/>
              <w:spacing w:before="110" w:after="110"/>
              <w:rPr>
                <w:rFonts w:ascii="Arial" w:hAnsi="Arial" w:cs="Arial"/>
                <w:sz w:val="20"/>
                <w:szCs w:val="20"/>
              </w:rPr>
            </w:pPr>
            <w:r>
              <w:rPr>
                <w:rFonts w:ascii="Arial" w:hAnsi="Arial" w:cs="Arial"/>
                <w:sz w:val="20"/>
                <w:szCs w:val="20"/>
              </w:rPr>
              <w:t xml:space="preserve">As assessed at </w:t>
            </w:r>
            <w:r w:rsidR="00C54CD2">
              <w:rPr>
                <w:rFonts w:ascii="Arial" w:hAnsi="Arial" w:cs="Arial"/>
                <w:sz w:val="20"/>
                <w:szCs w:val="20"/>
              </w:rPr>
              <w:t xml:space="preserve">liability </w:t>
            </w:r>
            <w:r w:rsidRPr="00FA5810">
              <w:rPr>
                <w:rFonts w:ascii="Arial" w:hAnsi="Arial" w:cs="Arial"/>
                <w:b/>
                <w:sz w:val="20"/>
                <w:szCs w:val="20"/>
              </w:rPr>
              <w:t>risk 3</w:t>
            </w:r>
            <w:r>
              <w:rPr>
                <w:rFonts w:ascii="Arial" w:hAnsi="Arial" w:cs="Arial"/>
                <w:sz w:val="20"/>
                <w:szCs w:val="20"/>
              </w:rPr>
              <w:t xml:space="preserve"> in Table 1 above, </w:t>
            </w:r>
            <w:r w:rsidR="006344CF">
              <w:rPr>
                <w:rFonts w:ascii="Arial" w:hAnsi="Arial" w:cs="Arial"/>
                <w:sz w:val="20"/>
                <w:szCs w:val="20"/>
              </w:rPr>
              <w:t>t</w:t>
            </w:r>
            <w:r w:rsidR="00A867B9">
              <w:rPr>
                <w:rFonts w:ascii="Arial" w:hAnsi="Arial" w:cs="Arial"/>
                <w:sz w:val="20"/>
                <w:szCs w:val="20"/>
              </w:rPr>
              <w:t xml:space="preserve">he </w:t>
            </w:r>
            <w:r w:rsidR="00935B72">
              <w:rPr>
                <w:rFonts w:ascii="Arial" w:hAnsi="Arial" w:cs="Arial"/>
                <w:sz w:val="20"/>
                <w:szCs w:val="20"/>
              </w:rPr>
              <w:t>Maximum Probable Loss</w:t>
            </w:r>
            <w:r w:rsidR="00A867B9">
              <w:rPr>
                <w:rFonts w:ascii="Arial" w:hAnsi="Arial" w:cs="Arial"/>
                <w:sz w:val="20"/>
                <w:szCs w:val="20"/>
              </w:rPr>
              <w:t xml:space="preserve"> </w:t>
            </w:r>
            <w:r w:rsidR="00351581">
              <w:rPr>
                <w:rFonts w:ascii="Arial" w:hAnsi="Arial" w:cs="Arial"/>
                <w:sz w:val="20"/>
                <w:szCs w:val="20"/>
              </w:rPr>
              <w:t>is assessed as</w:t>
            </w:r>
            <w:r w:rsidR="00391E4B">
              <w:rPr>
                <w:rFonts w:ascii="Arial" w:hAnsi="Arial" w:cs="Arial"/>
                <w:sz w:val="20"/>
                <w:szCs w:val="20"/>
              </w:rPr>
              <w:t xml:space="preserve"> </w:t>
            </w:r>
            <w:r w:rsidR="00A867B9" w:rsidRPr="00B9498E">
              <w:rPr>
                <w:rFonts w:ascii="Arial" w:hAnsi="Arial" w:cs="Arial"/>
                <w:sz w:val="20"/>
                <w:szCs w:val="20"/>
              </w:rPr>
              <w:t>$</w:t>
            </w:r>
            <w:r w:rsidR="005E2753">
              <w:rPr>
                <w:rFonts w:ascii="Arial" w:hAnsi="Arial" w:cs="Arial"/>
                <w:sz w:val="20"/>
                <w:szCs w:val="20"/>
              </w:rPr>
              <w:t>7</w:t>
            </w:r>
            <w:r w:rsidR="00935B72" w:rsidRPr="00B9498E">
              <w:rPr>
                <w:rFonts w:ascii="Arial" w:hAnsi="Arial" w:cs="Arial"/>
                <w:sz w:val="20"/>
                <w:szCs w:val="20"/>
              </w:rPr>
              <w:t>.</w:t>
            </w:r>
            <w:r w:rsidR="00B9498E">
              <w:rPr>
                <w:rFonts w:ascii="Arial" w:hAnsi="Arial" w:cs="Arial"/>
                <w:sz w:val="20"/>
                <w:szCs w:val="20"/>
              </w:rPr>
              <w:t>3</w:t>
            </w:r>
            <w:r w:rsidR="00935B72" w:rsidRPr="00B9498E">
              <w:rPr>
                <w:rFonts w:ascii="Arial" w:hAnsi="Arial" w:cs="Arial"/>
                <w:sz w:val="20"/>
                <w:szCs w:val="20"/>
              </w:rPr>
              <w:t>m</w:t>
            </w:r>
            <w:r w:rsidR="009C5EA2">
              <w:rPr>
                <w:rFonts w:ascii="Arial" w:hAnsi="Arial" w:cs="Arial"/>
                <w:sz w:val="20"/>
                <w:szCs w:val="20"/>
              </w:rPr>
              <w:t xml:space="preserve"> in total for a </w:t>
            </w:r>
            <w:r w:rsidR="00A22B45">
              <w:rPr>
                <w:rFonts w:ascii="Arial" w:hAnsi="Arial" w:cs="Arial"/>
                <w:sz w:val="20"/>
                <w:szCs w:val="20"/>
              </w:rPr>
              <w:t xml:space="preserve">26 week </w:t>
            </w:r>
            <w:r w:rsidR="009C5EA2">
              <w:rPr>
                <w:rFonts w:ascii="Arial" w:hAnsi="Arial" w:cs="Arial"/>
                <w:sz w:val="20"/>
                <w:szCs w:val="20"/>
              </w:rPr>
              <w:t>delay.</w:t>
            </w:r>
          </w:p>
          <w:p w14:paraId="6D42E74D" w14:textId="77777777" w:rsidR="00A867B9" w:rsidRPr="00634E17" w:rsidRDefault="00A867B9" w:rsidP="00E81DA1">
            <w:pPr>
              <w:pStyle w:val="Default"/>
              <w:spacing w:before="110" w:after="110"/>
              <w:rPr>
                <w:rFonts w:ascii="Arial" w:hAnsi="Arial" w:cs="Arial"/>
                <w:sz w:val="20"/>
                <w:szCs w:val="20"/>
              </w:rPr>
            </w:pPr>
            <w:r>
              <w:rPr>
                <w:rFonts w:ascii="Arial" w:hAnsi="Arial" w:cs="Arial"/>
                <w:sz w:val="20"/>
                <w:szCs w:val="20"/>
              </w:rPr>
              <w:t xml:space="preserve">The </w:t>
            </w:r>
            <w:r w:rsidR="00F33B93">
              <w:rPr>
                <w:rFonts w:ascii="Arial" w:hAnsi="Arial" w:cs="Arial"/>
                <w:sz w:val="20"/>
                <w:szCs w:val="20"/>
              </w:rPr>
              <w:t>p</w:t>
            </w:r>
            <w:r>
              <w:rPr>
                <w:rFonts w:ascii="Arial" w:hAnsi="Arial" w:cs="Arial"/>
                <w:sz w:val="20"/>
                <w:szCs w:val="20"/>
              </w:rPr>
              <w:t xml:space="preserve">roject proposes a liability cap that is </w:t>
            </w:r>
            <w:r w:rsidR="009C5EA2">
              <w:rPr>
                <w:rFonts w:ascii="Arial" w:hAnsi="Arial" w:cs="Arial"/>
                <w:sz w:val="20"/>
                <w:szCs w:val="20"/>
              </w:rPr>
              <w:t>equal to the Maximum Probable Loss</w:t>
            </w:r>
            <w:r w:rsidR="00B86A00">
              <w:rPr>
                <w:rFonts w:ascii="Arial" w:hAnsi="Arial" w:cs="Arial"/>
                <w:sz w:val="20"/>
                <w:szCs w:val="20"/>
              </w:rPr>
              <w:t xml:space="preserve"> as this is the maximum delay the </w:t>
            </w:r>
            <w:r w:rsidR="00F33B93">
              <w:rPr>
                <w:rFonts w:ascii="Arial" w:hAnsi="Arial" w:cs="Arial"/>
                <w:sz w:val="20"/>
                <w:szCs w:val="20"/>
              </w:rPr>
              <w:t>p</w:t>
            </w:r>
            <w:r w:rsidR="00B86A00">
              <w:rPr>
                <w:rFonts w:ascii="Arial" w:hAnsi="Arial" w:cs="Arial"/>
                <w:sz w:val="20"/>
                <w:szCs w:val="20"/>
              </w:rPr>
              <w:t>roject will accept</w:t>
            </w:r>
            <w:r w:rsidR="009C5EA2">
              <w:rPr>
                <w:rFonts w:ascii="Arial" w:hAnsi="Arial" w:cs="Arial"/>
                <w:sz w:val="20"/>
                <w:szCs w:val="20"/>
              </w:rPr>
              <w:t>.</w:t>
            </w:r>
          </w:p>
        </w:tc>
        <w:tc>
          <w:tcPr>
            <w:tcW w:w="1600" w:type="dxa"/>
            <w:tcBorders>
              <w:top w:val="single" w:sz="8" w:space="0" w:color="000000"/>
              <w:left w:val="single" w:sz="8" w:space="0" w:color="000000"/>
              <w:bottom w:val="single" w:sz="8" w:space="0" w:color="000000"/>
              <w:right w:val="single" w:sz="8" w:space="0" w:color="000000"/>
            </w:tcBorders>
          </w:tcPr>
          <w:p w14:paraId="3AB0539C" w14:textId="77777777" w:rsidR="00A867B9" w:rsidRPr="00634E17" w:rsidRDefault="00A867B9" w:rsidP="00E81DA1">
            <w:pPr>
              <w:pStyle w:val="Default"/>
              <w:spacing w:before="110" w:after="110"/>
              <w:rPr>
                <w:rFonts w:ascii="Arial" w:hAnsi="Arial" w:cs="Arial"/>
                <w:sz w:val="20"/>
                <w:szCs w:val="20"/>
              </w:rPr>
            </w:pPr>
            <w:r>
              <w:rPr>
                <w:rFonts w:ascii="Arial" w:hAnsi="Arial" w:cs="Arial"/>
                <w:sz w:val="20"/>
                <w:szCs w:val="20"/>
              </w:rPr>
              <w:t>$</w:t>
            </w:r>
            <w:r w:rsidR="005E2753">
              <w:rPr>
                <w:rFonts w:ascii="Arial" w:hAnsi="Arial" w:cs="Arial"/>
                <w:sz w:val="20"/>
                <w:szCs w:val="20"/>
              </w:rPr>
              <w:t>7</w:t>
            </w:r>
            <w:r w:rsidR="00935B72">
              <w:rPr>
                <w:rFonts w:ascii="Arial" w:hAnsi="Arial" w:cs="Arial"/>
                <w:sz w:val="20"/>
                <w:szCs w:val="20"/>
              </w:rPr>
              <w:t>.</w:t>
            </w:r>
            <w:r w:rsidR="00B9498E">
              <w:rPr>
                <w:rFonts w:ascii="Arial" w:hAnsi="Arial" w:cs="Arial"/>
                <w:sz w:val="20"/>
                <w:szCs w:val="20"/>
              </w:rPr>
              <w:t>3</w:t>
            </w:r>
            <w:r w:rsidR="00935B72">
              <w:rPr>
                <w:rFonts w:ascii="Arial" w:hAnsi="Arial" w:cs="Arial"/>
                <w:sz w:val="20"/>
                <w:szCs w:val="20"/>
              </w:rPr>
              <w:t>m</w:t>
            </w:r>
          </w:p>
        </w:tc>
        <w:tc>
          <w:tcPr>
            <w:tcW w:w="1600" w:type="dxa"/>
            <w:tcBorders>
              <w:top w:val="single" w:sz="8" w:space="0" w:color="000000"/>
              <w:left w:val="single" w:sz="8" w:space="0" w:color="000000"/>
              <w:bottom w:val="single" w:sz="8" w:space="0" w:color="000000"/>
              <w:right w:val="single" w:sz="8" w:space="0" w:color="000000"/>
            </w:tcBorders>
          </w:tcPr>
          <w:p w14:paraId="19844B09" w14:textId="77777777" w:rsidR="00A867B9" w:rsidRPr="00634E17" w:rsidRDefault="00A867B9" w:rsidP="00E81DA1">
            <w:pPr>
              <w:pStyle w:val="Default"/>
              <w:spacing w:before="110" w:after="110"/>
              <w:rPr>
                <w:rFonts w:ascii="Arial" w:hAnsi="Arial" w:cs="Arial"/>
                <w:sz w:val="20"/>
                <w:szCs w:val="20"/>
              </w:rPr>
            </w:pPr>
            <w:r>
              <w:rPr>
                <w:rFonts w:ascii="Arial" w:hAnsi="Arial" w:cs="Arial"/>
                <w:sz w:val="20"/>
                <w:szCs w:val="20"/>
              </w:rPr>
              <w:t>$</w:t>
            </w:r>
            <w:r w:rsidR="005E2753">
              <w:rPr>
                <w:rFonts w:ascii="Arial" w:hAnsi="Arial" w:cs="Arial"/>
                <w:sz w:val="20"/>
                <w:szCs w:val="20"/>
              </w:rPr>
              <w:t>7</w:t>
            </w:r>
            <w:r w:rsidR="009C5EA2">
              <w:rPr>
                <w:rFonts w:ascii="Arial" w:hAnsi="Arial" w:cs="Arial"/>
                <w:sz w:val="20"/>
                <w:szCs w:val="20"/>
              </w:rPr>
              <w:t>.</w:t>
            </w:r>
            <w:r w:rsidR="00B9498E">
              <w:rPr>
                <w:rFonts w:ascii="Arial" w:hAnsi="Arial" w:cs="Arial"/>
                <w:sz w:val="20"/>
                <w:szCs w:val="20"/>
              </w:rPr>
              <w:t>3</w:t>
            </w:r>
            <w:r w:rsidR="009C5EA2">
              <w:rPr>
                <w:rFonts w:ascii="Arial" w:hAnsi="Arial" w:cs="Arial"/>
                <w:sz w:val="20"/>
                <w:szCs w:val="20"/>
              </w:rPr>
              <w:t>m</w:t>
            </w:r>
          </w:p>
        </w:tc>
        <w:tc>
          <w:tcPr>
            <w:tcW w:w="1893" w:type="dxa"/>
            <w:tcBorders>
              <w:top w:val="single" w:sz="8" w:space="0" w:color="000000"/>
              <w:left w:val="single" w:sz="8" w:space="0" w:color="000000"/>
              <w:bottom w:val="single" w:sz="8" w:space="0" w:color="000000"/>
              <w:right w:val="single" w:sz="8" w:space="0" w:color="000000"/>
            </w:tcBorders>
          </w:tcPr>
          <w:p w14:paraId="033F5710" w14:textId="77777777" w:rsidR="00A867B9" w:rsidRPr="00634E17" w:rsidRDefault="00935B72" w:rsidP="00E81DA1">
            <w:pPr>
              <w:pStyle w:val="Default"/>
              <w:spacing w:before="110" w:after="110"/>
              <w:rPr>
                <w:rFonts w:ascii="Arial" w:hAnsi="Arial" w:cs="Arial"/>
                <w:sz w:val="20"/>
                <w:szCs w:val="20"/>
              </w:rPr>
            </w:pPr>
            <w:r>
              <w:rPr>
                <w:rFonts w:ascii="Arial" w:hAnsi="Arial" w:cs="Arial"/>
                <w:sz w:val="20"/>
                <w:szCs w:val="20"/>
              </w:rPr>
              <w:t>Rare</w:t>
            </w:r>
          </w:p>
        </w:tc>
      </w:tr>
      <w:tr w:rsidR="00A867B9" w:rsidRPr="00634E17" w14:paraId="1062EFE2" w14:textId="77777777" w:rsidTr="00211DF0">
        <w:tc>
          <w:tcPr>
            <w:tcW w:w="3608" w:type="dxa"/>
            <w:tcBorders>
              <w:top w:val="single" w:sz="8" w:space="0" w:color="000000"/>
              <w:left w:val="single" w:sz="8" w:space="0" w:color="000000"/>
              <w:bottom w:val="single" w:sz="8" w:space="0" w:color="000000"/>
              <w:right w:val="single" w:sz="8" w:space="0" w:color="000000"/>
            </w:tcBorders>
          </w:tcPr>
          <w:p w14:paraId="30FCC425" w14:textId="1FC47E4E" w:rsidR="00A867B9" w:rsidRPr="00634E17" w:rsidRDefault="00F33B93" w:rsidP="00E93822">
            <w:pPr>
              <w:pStyle w:val="Default"/>
              <w:tabs>
                <w:tab w:val="left" w:pos="284"/>
              </w:tabs>
              <w:spacing w:before="110" w:after="110"/>
              <w:rPr>
                <w:rFonts w:ascii="Arial" w:hAnsi="Arial" w:cs="Arial"/>
                <w:sz w:val="20"/>
                <w:szCs w:val="20"/>
              </w:rPr>
            </w:pPr>
            <w:r>
              <w:rPr>
                <w:rFonts w:ascii="Arial" w:hAnsi="Arial" w:cs="Arial"/>
                <w:sz w:val="20"/>
                <w:szCs w:val="20"/>
              </w:rPr>
              <w:t>L</w:t>
            </w:r>
            <w:r w:rsidR="00A867B9" w:rsidRPr="00C41095">
              <w:rPr>
                <w:rFonts w:ascii="Arial" w:hAnsi="Arial" w:cs="Arial"/>
                <w:sz w:val="20"/>
                <w:szCs w:val="20"/>
              </w:rPr>
              <w:t xml:space="preserve">oss of or damage to </w:t>
            </w:r>
            <w:r w:rsidR="00A867B9">
              <w:rPr>
                <w:rFonts w:ascii="Arial" w:hAnsi="Arial" w:cs="Arial"/>
                <w:sz w:val="20"/>
                <w:szCs w:val="20"/>
              </w:rPr>
              <w:t>supplies</w:t>
            </w:r>
            <w:r w:rsidR="00A867B9" w:rsidRPr="00C41095">
              <w:rPr>
                <w:rFonts w:ascii="Arial" w:hAnsi="Arial" w:cs="Arial"/>
                <w:sz w:val="20"/>
                <w:szCs w:val="20"/>
              </w:rPr>
              <w:t xml:space="preserve"> (</w:t>
            </w:r>
            <w:r w:rsidR="006F15EB">
              <w:rPr>
                <w:rFonts w:ascii="Arial" w:hAnsi="Arial" w:cs="Arial"/>
                <w:sz w:val="20"/>
                <w:szCs w:val="20"/>
              </w:rPr>
              <w:t xml:space="preserve">including </w:t>
            </w:r>
            <w:r w:rsidR="00A867B9" w:rsidRPr="00C41095">
              <w:rPr>
                <w:rFonts w:ascii="Arial" w:hAnsi="Arial" w:cs="Arial"/>
                <w:sz w:val="20"/>
                <w:szCs w:val="20"/>
              </w:rPr>
              <w:t xml:space="preserve">loss of use of </w:t>
            </w:r>
            <w:r w:rsidR="00A867B9">
              <w:rPr>
                <w:rFonts w:ascii="Arial" w:hAnsi="Arial" w:cs="Arial"/>
                <w:sz w:val="20"/>
                <w:szCs w:val="20"/>
              </w:rPr>
              <w:t>supplies</w:t>
            </w:r>
            <w:r w:rsidR="00A867B9" w:rsidRPr="00C41095">
              <w:rPr>
                <w:rFonts w:ascii="Arial" w:hAnsi="Arial" w:cs="Arial"/>
                <w:sz w:val="20"/>
                <w:szCs w:val="20"/>
              </w:rPr>
              <w:t xml:space="preserve">) and </w:t>
            </w:r>
            <w:r w:rsidR="00FF5771">
              <w:rPr>
                <w:rFonts w:ascii="Arial" w:hAnsi="Arial" w:cs="Arial"/>
                <w:sz w:val="20"/>
                <w:szCs w:val="20"/>
              </w:rPr>
              <w:t>l</w:t>
            </w:r>
            <w:r w:rsidR="00A867B9" w:rsidRPr="00C41095">
              <w:rPr>
                <w:rFonts w:ascii="Arial" w:hAnsi="Arial" w:cs="Arial"/>
                <w:sz w:val="20"/>
                <w:szCs w:val="20"/>
              </w:rPr>
              <w:t xml:space="preserve">osses suffered by the Commonwealth other than those referred to in </w:t>
            </w:r>
            <w:r w:rsidR="00137838">
              <w:rPr>
                <w:rFonts w:ascii="Arial" w:hAnsi="Arial" w:cs="Arial"/>
                <w:sz w:val="20"/>
                <w:szCs w:val="20"/>
              </w:rPr>
              <w:t xml:space="preserve">the above </w:t>
            </w:r>
            <w:r w:rsidR="00E93822">
              <w:rPr>
                <w:rFonts w:ascii="Arial" w:hAnsi="Arial" w:cs="Arial"/>
                <w:sz w:val="20"/>
                <w:szCs w:val="20"/>
              </w:rPr>
              <w:t>two</w:t>
            </w:r>
            <w:r w:rsidR="00137838">
              <w:rPr>
                <w:rFonts w:ascii="Arial" w:hAnsi="Arial" w:cs="Arial"/>
                <w:sz w:val="20"/>
                <w:szCs w:val="20"/>
              </w:rPr>
              <w:t xml:space="preserve"> liability caps</w:t>
            </w:r>
          </w:p>
        </w:tc>
        <w:tc>
          <w:tcPr>
            <w:tcW w:w="5900" w:type="dxa"/>
            <w:tcBorders>
              <w:top w:val="single" w:sz="8" w:space="0" w:color="000000"/>
              <w:left w:val="single" w:sz="8" w:space="0" w:color="000000"/>
              <w:bottom w:val="single" w:sz="8" w:space="0" w:color="000000"/>
              <w:right w:val="single" w:sz="8" w:space="0" w:color="000000"/>
            </w:tcBorders>
          </w:tcPr>
          <w:p w14:paraId="4CB1A8D7" w14:textId="3F076C4B" w:rsidR="002F2D2E" w:rsidRDefault="002F2D2E" w:rsidP="00E81DA1">
            <w:pPr>
              <w:pStyle w:val="Default"/>
              <w:spacing w:before="110" w:after="110"/>
              <w:rPr>
                <w:rFonts w:ascii="Arial" w:hAnsi="Arial" w:cs="Arial"/>
                <w:sz w:val="20"/>
                <w:szCs w:val="20"/>
              </w:rPr>
            </w:pPr>
            <w:r>
              <w:rPr>
                <w:rFonts w:ascii="Arial" w:hAnsi="Arial" w:cs="Arial"/>
                <w:sz w:val="20"/>
                <w:szCs w:val="20"/>
              </w:rPr>
              <w:t>T</w:t>
            </w:r>
            <w:r w:rsidR="00935B72">
              <w:rPr>
                <w:rFonts w:ascii="Arial" w:hAnsi="Arial" w:cs="Arial"/>
                <w:sz w:val="20"/>
                <w:szCs w:val="20"/>
              </w:rPr>
              <w:t>he Maximum Probable Loss</w:t>
            </w:r>
            <w:r w:rsidR="00F66406">
              <w:rPr>
                <w:rFonts w:ascii="Arial" w:hAnsi="Arial" w:cs="Arial"/>
                <w:sz w:val="20"/>
                <w:szCs w:val="20"/>
              </w:rPr>
              <w:t xml:space="preserve"> for </w:t>
            </w:r>
            <w:r w:rsidR="00F66406" w:rsidRPr="00C41095">
              <w:rPr>
                <w:rFonts w:ascii="Arial" w:hAnsi="Arial" w:cs="Arial"/>
                <w:sz w:val="20"/>
                <w:szCs w:val="20"/>
              </w:rPr>
              <w:t xml:space="preserve">loss of or damage to </w:t>
            </w:r>
            <w:r w:rsidR="00935B72">
              <w:rPr>
                <w:rFonts w:ascii="Arial" w:hAnsi="Arial" w:cs="Arial"/>
                <w:sz w:val="20"/>
                <w:szCs w:val="20"/>
              </w:rPr>
              <w:t xml:space="preserve">supplies </w:t>
            </w:r>
            <w:r>
              <w:rPr>
                <w:rFonts w:ascii="Arial" w:hAnsi="Arial" w:cs="Arial"/>
                <w:sz w:val="20"/>
                <w:szCs w:val="20"/>
              </w:rPr>
              <w:t>(including loss of use of supplies) includes:</w:t>
            </w:r>
          </w:p>
          <w:p w14:paraId="5420263F" w14:textId="1AD24470" w:rsidR="002F2D2E" w:rsidRDefault="002F2D2E" w:rsidP="002F2D2E">
            <w:pPr>
              <w:pStyle w:val="Default"/>
              <w:numPr>
                <w:ilvl w:val="0"/>
                <w:numId w:val="2"/>
              </w:numPr>
              <w:tabs>
                <w:tab w:val="clear" w:pos="720"/>
                <w:tab w:val="left" w:pos="284"/>
                <w:tab w:val="num" w:pos="361"/>
              </w:tabs>
              <w:spacing w:before="110" w:after="110"/>
              <w:ind w:left="284" w:hanging="284"/>
              <w:rPr>
                <w:rFonts w:ascii="Arial" w:hAnsi="Arial" w:cs="Arial"/>
                <w:sz w:val="20"/>
                <w:szCs w:val="20"/>
              </w:rPr>
            </w:pPr>
            <w:r w:rsidRPr="002F2D2E">
              <w:rPr>
                <w:rFonts w:ascii="Arial" w:hAnsi="Arial" w:cs="Arial"/>
                <w:sz w:val="20"/>
                <w:szCs w:val="20"/>
              </w:rPr>
              <w:t xml:space="preserve">costs associated with the loss of or damage to supplies, as assessed at liability </w:t>
            </w:r>
            <w:r w:rsidRPr="002F2D2E">
              <w:rPr>
                <w:rFonts w:ascii="Arial" w:hAnsi="Arial" w:cs="Arial"/>
                <w:b/>
                <w:sz w:val="20"/>
                <w:szCs w:val="20"/>
              </w:rPr>
              <w:t>risk 5</w:t>
            </w:r>
            <w:r w:rsidRPr="002F2D2E">
              <w:rPr>
                <w:rFonts w:ascii="Arial" w:hAnsi="Arial" w:cs="Arial"/>
                <w:sz w:val="20"/>
                <w:szCs w:val="20"/>
              </w:rPr>
              <w:t xml:space="preserve"> in </w:t>
            </w:r>
            <w:r w:rsidRPr="00A22B45">
              <w:rPr>
                <w:rFonts w:ascii="Arial" w:hAnsi="Arial" w:cs="Arial"/>
                <w:sz w:val="20"/>
                <w:szCs w:val="20"/>
              </w:rPr>
              <w:t xml:space="preserve">Table 1 above, </w:t>
            </w:r>
            <w:r w:rsidR="00F66406" w:rsidRPr="00A22B45">
              <w:rPr>
                <w:rFonts w:ascii="Arial" w:hAnsi="Arial" w:cs="Arial"/>
                <w:sz w:val="20"/>
                <w:szCs w:val="20"/>
              </w:rPr>
              <w:t>$</w:t>
            </w:r>
            <w:r w:rsidR="00935B72" w:rsidRPr="00A22B45">
              <w:rPr>
                <w:rFonts w:ascii="Arial" w:hAnsi="Arial" w:cs="Arial"/>
                <w:sz w:val="20"/>
                <w:szCs w:val="20"/>
              </w:rPr>
              <w:t>50m</w:t>
            </w:r>
            <w:r>
              <w:rPr>
                <w:rFonts w:ascii="Arial" w:hAnsi="Arial" w:cs="Arial"/>
                <w:sz w:val="20"/>
                <w:szCs w:val="20"/>
              </w:rPr>
              <w:t>; and</w:t>
            </w:r>
          </w:p>
          <w:p w14:paraId="5CEDD06D" w14:textId="17CDBD24" w:rsidR="002F2D2E" w:rsidRPr="00A22B45" w:rsidRDefault="002F2D2E" w:rsidP="002F2D2E">
            <w:pPr>
              <w:pStyle w:val="Default"/>
              <w:numPr>
                <w:ilvl w:val="0"/>
                <w:numId w:val="2"/>
              </w:numPr>
              <w:tabs>
                <w:tab w:val="clear" w:pos="720"/>
                <w:tab w:val="left" w:pos="284"/>
                <w:tab w:val="num" w:pos="361"/>
              </w:tabs>
              <w:spacing w:before="110" w:after="110"/>
              <w:ind w:left="284" w:hanging="284"/>
              <w:rPr>
                <w:rFonts w:ascii="Arial" w:hAnsi="Arial" w:cs="Arial"/>
                <w:sz w:val="20"/>
                <w:szCs w:val="20"/>
              </w:rPr>
            </w:pPr>
            <w:r w:rsidRPr="002F2D2E">
              <w:rPr>
                <w:rFonts w:ascii="Arial" w:hAnsi="Arial" w:cs="Arial"/>
                <w:sz w:val="20"/>
                <w:szCs w:val="20"/>
              </w:rPr>
              <w:t xml:space="preserve">costs associated with loss of use of supplies, as assessed in liability </w:t>
            </w:r>
            <w:r w:rsidRPr="00A22B45">
              <w:rPr>
                <w:rFonts w:ascii="Arial" w:hAnsi="Arial" w:cs="Arial"/>
                <w:b/>
                <w:sz w:val="20"/>
                <w:szCs w:val="20"/>
              </w:rPr>
              <w:t>risk 2</w:t>
            </w:r>
            <w:r w:rsidRPr="00A22B45">
              <w:rPr>
                <w:rFonts w:ascii="Arial" w:hAnsi="Arial" w:cs="Arial"/>
                <w:sz w:val="20"/>
                <w:szCs w:val="20"/>
              </w:rPr>
              <w:t xml:space="preserve"> in Table 1 above, $19.3m</w:t>
            </w:r>
            <w:r w:rsidR="00DB25E6" w:rsidRPr="00A22B45">
              <w:rPr>
                <w:rFonts w:ascii="Arial" w:hAnsi="Arial" w:cs="Arial"/>
                <w:sz w:val="20"/>
                <w:szCs w:val="20"/>
              </w:rPr>
              <w:t>.</w:t>
            </w:r>
          </w:p>
          <w:p w14:paraId="786A4DCB" w14:textId="00553D4F" w:rsidR="00F66406" w:rsidRDefault="00F66406" w:rsidP="00E81DA1">
            <w:pPr>
              <w:pStyle w:val="Default"/>
              <w:spacing w:before="110" w:after="110"/>
              <w:rPr>
                <w:rFonts w:ascii="Arial" w:hAnsi="Arial" w:cs="Arial"/>
                <w:sz w:val="20"/>
                <w:szCs w:val="20"/>
              </w:rPr>
            </w:pPr>
            <w:r>
              <w:rPr>
                <w:rFonts w:ascii="Arial" w:hAnsi="Arial" w:cs="Arial"/>
                <w:sz w:val="20"/>
                <w:szCs w:val="20"/>
              </w:rPr>
              <w:t xml:space="preserve">In addition to this amount, </w:t>
            </w:r>
            <w:r w:rsidR="00935B72">
              <w:rPr>
                <w:rFonts w:ascii="Arial" w:hAnsi="Arial" w:cs="Arial"/>
                <w:sz w:val="20"/>
                <w:szCs w:val="20"/>
              </w:rPr>
              <w:t xml:space="preserve">the Maximum Probable Loss </w:t>
            </w:r>
            <w:r w:rsidR="00333024">
              <w:rPr>
                <w:rFonts w:ascii="Arial" w:hAnsi="Arial" w:cs="Arial"/>
                <w:sz w:val="20"/>
                <w:szCs w:val="20"/>
              </w:rPr>
              <w:t xml:space="preserve">for all other losses suffered by the Commonwealth </w:t>
            </w:r>
            <w:r w:rsidR="00DB25E6">
              <w:rPr>
                <w:rFonts w:ascii="Arial" w:hAnsi="Arial" w:cs="Arial"/>
                <w:sz w:val="20"/>
                <w:szCs w:val="20"/>
              </w:rPr>
              <w:t xml:space="preserve">other than those referred to in the above </w:t>
            </w:r>
            <w:r w:rsidR="00072008">
              <w:rPr>
                <w:rFonts w:ascii="Arial" w:hAnsi="Arial" w:cs="Arial"/>
                <w:sz w:val="20"/>
                <w:szCs w:val="20"/>
              </w:rPr>
              <w:t>two</w:t>
            </w:r>
            <w:r w:rsidR="00DB25E6">
              <w:rPr>
                <w:rFonts w:ascii="Arial" w:hAnsi="Arial" w:cs="Arial"/>
                <w:sz w:val="20"/>
                <w:szCs w:val="20"/>
              </w:rPr>
              <w:t xml:space="preserve"> liability caps </w:t>
            </w:r>
            <w:r w:rsidR="00333024">
              <w:rPr>
                <w:rFonts w:ascii="Arial" w:hAnsi="Arial" w:cs="Arial"/>
                <w:sz w:val="20"/>
                <w:szCs w:val="20"/>
              </w:rPr>
              <w:t>includes:</w:t>
            </w:r>
            <w:r>
              <w:rPr>
                <w:rFonts w:ascii="Arial" w:hAnsi="Arial" w:cs="Arial"/>
                <w:sz w:val="20"/>
                <w:szCs w:val="20"/>
              </w:rPr>
              <w:t xml:space="preserve"> </w:t>
            </w:r>
          </w:p>
          <w:p w14:paraId="2137670C" w14:textId="0856A016" w:rsidR="00333024" w:rsidRDefault="00DB25E6" w:rsidP="00481CE6">
            <w:pPr>
              <w:pStyle w:val="Default"/>
              <w:numPr>
                <w:ilvl w:val="0"/>
                <w:numId w:val="2"/>
              </w:numPr>
              <w:tabs>
                <w:tab w:val="clear" w:pos="720"/>
                <w:tab w:val="left" w:pos="284"/>
                <w:tab w:val="num" w:pos="361"/>
              </w:tabs>
              <w:spacing w:before="110" w:after="110"/>
              <w:ind w:left="284" w:hanging="284"/>
              <w:rPr>
                <w:rFonts w:ascii="Arial" w:hAnsi="Arial" w:cs="Arial"/>
                <w:sz w:val="20"/>
                <w:szCs w:val="20"/>
              </w:rPr>
            </w:pPr>
            <w:r>
              <w:rPr>
                <w:rFonts w:ascii="Arial" w:hAnsi="Arial" w:cs="Arial"/>
                <w:sz w:val="20"/>
                <w:szCs w:val="20"/>
              </w:rPr>
              <w:t>c</w:t>
            </w:r>
            <w:r w:rsidR="00333024">
              <w:rPr>
                <w:rFonts w:ascii="Arial" w:hAnsi="Arial" w:cs="Arial"/>
                <w:sz w:val="20"/>
                <w:szCs w:val="20"/>
              </w:rPr>
              <w:t>osts associated with the contractor</w:t>
            </w:r>
            <w:r w:rsidR="00333024" w:rsidRPr="00634E17">
              <w:rPr>
                <w:rFonts w:ascii="Arial" w:hAnsi="Arial" w:cs="Arial"/>
                <w:sz w:val="20"/>
                <w:szCs w:val="20"/>
              </w:rPr>
              <w:t xml:space="preserve"> fail</w:t>
            </w:r>
            <w:r w:rsidR="00333024">
              <w:rPr>
                <w:rFonts w:ascii="Arial" w:hAnsi="Arial" w:cs="Arial"/>
                <w:sz w:val="20"/>
                <w:szCs w:val="20"/>
              </w:rPr>
              <w:t>ing</w:t>
            </w:r>
            <w:r w:rsidR="00333024" w:rsidRPr="00634E17">
              <w:rPr>
                <w:rFonts w:ascii="Arial" w:hAnsi="Arial" w:cs="Arial"/>
                <w:sz w:val="20"/>
                <w:szCs w:val="20"/>
              </w:rPr>
              <w:t xml:space="preserve"> to complete the contract</w:t>
            </w:r>
            <w:r w:rsidR="00333024">
              <w:rPr>
                <w:rFonts w:ascii="Arial" w:hAnsi="Arial" w:cs="Arial"/>
                <w:sz w:val="20"/>
                <w:szCs w:val="20"/>
              </w:rPr>
              <w:t>,</w:t>
            </w:r>
            <w:r w:rsidR="00333024" w:rsidRPr="00634E17">
              <w:rPr>
                <w:rFonts w:ascii="Arial" w:hAnsi="Arial" w:cs="Arial"/>
                <w:sz w:val="20"/>
                <w:szCs w:val="20"/>
              </w:rPr>
              <w:t xml:space="preserve"> </w:t>
            </w:r>
            <w:r w:rsidR="00333024">
              <w:rPr>
                <w:rFonts w:ascii="Arial" w:hAnsi="Arial" w:cs="Arial"/>
                <w:sz w:val="20"/>
                <w:szCs w:val="20"/>
              </w:rPr>
              <w:t xml:space="preserve">as assessed at </w:t>
            </w:r>
            <w:r w:rsidR="00C54CD2">
              <w:rPr>
                <w:rFonts w:ascii="Arial" w:hAnsi="Arial" w:cs="Arial"/>
                <w:sz w:val="20"/>
                <w:szCs w:val="20"/>
              </w:rPr>
              <w:t xml:space="preserve">liability </w:t>
            </w:r>
            <w:r w:rsidR="00333024" w:rsidRPr="00FA5810">
              <w:rPr>
                <w:rFonts w:ascii="Arial" w:hAnsi="Arial" w:cs="Arial"/>
                <w:b/>
                <w:sz w:val="20"/>
                <w:szCs w:val="20"/>
              </w:rPr>
              <w:t>risk 1</w:t>
            </w:r>
            <w:r w:rsidR="00333024">
              <w:rPr>
                <w:rFonts w:ascii="Arial" w:hAnsi="Arial" w:cs="Arial"/>
                <w:sz w:val="20"/>
                <w:szCs w:val="20"/>
              </w:rPr>
              <w:t xml:space="preserve"> in Table 1 above, </w:t>
            </w:r>
            <w:r w:rsidR="00935B72">
              <w:rPr>
                <w:rFonts w:ascii="Arial" w:hAnsi="Arial" w:cs="Arial"/>
                <w:sz w:val="20"/>
                <w:szCs w:val="20"/>
              </w:rPr>
              <w:t>$</w:t>
            </w:r>
            <w:r w:rsidR="005E2753">
              <w:rPr>
                <w:rFonts w:ascii="Arial" w:hAnsi="Arial" w:cs="Arial"/>
                <w:sz w:val="20"/>
                <w:szCs w:val="20"/>
              </w:rPr>
              <w:t>30m</w:t>
            </w:r>
            <w:r w:rsidR="00AA2A0F">
              <w:rPr>
                <w:rFonts w:ascii="Arial" w:hAnsi="Arial" w:cs="Arial"/>
                <w:sz w:val="20"/>
                <w:szCs w:val="20"/>
              </w:rPr>
              <w:t>;</w:t>
            </w:r>
          </w:p>
          <w:p w14:paraId="65790C67" w14:textId="488CE5FF" w:rsidR="00DB25E6" w:rsidRDefault="00DB25E6" w:rsidP="00481CE6">
            <w:pPr>
              <w:pStyle w:val="Default"/>
              <w:numPr>
                <w:ilvl w:val="0"/>
                <w:numId w:val="2"/>
              </w:numPr>
              <w:tabs>
                <w:tab w:val="clear" w:pos="720"/>
                <w:tab w:val="left" w:pos="284"/>
                <w:tab w:val="num" w:pos="361"/>
              </w:tabs>
              <w:spacing w:before="110" w:after="110"/>
              <w:ind w:left="284" w:hanging="284"/>
              <w:rPr>
                <w:rFonts w:ascii="Arial" w:hAnsi="Arial" w:cs="Arial"/>
                <w:sz w:val="20"/>
                <w:szCs w:val="20"/>
              </w:rPr>
            </w:pPr>
            <w:r>
              <w:rPr>
                <w:rFonts w:ascii="Arial" w:hAnsi="Arial" w:cs="Arial"/>
                <w:sz w:val="20"/>
                <w:szCs w:val="20"/>
              </w:rPr>
              <w:t>costs associated with the contractor</w:t>
            </w:r>
            <w:r w:rsidRPr="00634E17">
              <w:rPr>
                <w:rFonts w:ascii="Arial" w:hAnsi="Arial" w:cs="Arial"/>
                <w:sz w:val="20"/>
                <w:szCs w:val="20"/>
              </w:rPr>
              <w:t xml:space="preserve"> </w:t>
            </w:r>
            <w:r w:rsidR="009A522D">
              <w:rPr>
                <w:rFonts w:ascii="Arial" w:hAnsi="Arial" w:cs="Arial"/>
                <w:sz w:val="20"/>
                <w:szCs w:val="20"/>
              </w:rPr>
              <w:t xml:space="preserve">causing pure economic loss to a third party, as assessed at </w:t>
            </w:r>
            <w:r w:rsidR="00C54CD2">
              <w:rPr>
                <w:rFonts w:ascii="Arial" w:hAnsi="Arial" w:cs="Arial"/>
                <w:sz w:val="20"/>
                <w:szCs w:val="20"/>
              </w:rPr>
              <w:t xml:space="preserve">liability </w:t>
            </w:r>
            <w:r w:rsidR="009A522D" w:rsidRPr="00FA5810">
              <w:rPr>
                <w:rFonts w:ascii="Arial" w:hAnsi="Arial" w:cs="Arial"/>
                <w:b/>
                <w:sz w:val="20"/>
                <w:szCs w:val="20"/>
              </w:rPr>
              <w:t>risk 8</w:t>
            </w:r>
            <w:r w:rsidR="009A522D">
              <w:rPr>
                <w:rFonts w:ascii="Arial" w:hAnsi="Arial" w:cs="Arial"/>
                <w:sz w:val="20"/>
                <w:szCs w:val="20"/>
              </w:rPr>
              <w:t xml:space="preserve"> in Table 1 above, </w:t>
            </w:r>
            <w:r w:rsidR="00AA2A0F">
              <w:rPr>
                <w:rFonts w:ascii="Arial" w:hAnsi="Arial" w:cs="Arial"/>
                <w:sz w:val="20"/>
                <w:szCs w:val="20"/>
              </w:rPr>
              <w:t>$30m; and</w:t>
            </w:r>
          </w:p>
          <w:p w14:paraId="6FDDAB79" w14:textId="77777777" w:rsidR="00333024" w:rsidRDefault="000C79D9" w:rsidP="00481CE6">
            <w:pPr>
              <w:pStyle w:val="Default"/>
              <w:numPr>
                <w:ilvl w:val="0"/>
                <w:numId w:val="2"/>
              </w:numPr>
              <w:tabs>
                <w:tab w:val="clear" w:pos="720"/>
                <w:tab w:val="left" w:pos="284"/>
                <w:tab w:val="num" w:pos="361"/>
              </w:tabs>
              <w:spacing w:before="110" w:after="110"/>
              <w:ind w:left="284" w:hanging="284"/>
              <w:rPr>
                <w:rFonts w:ascii="Arial" w:hAnsi="Arial" w:cs="Arial"/>
                <w:sz w:val="20"/>
                <w:szCs w:val="20"/>
              </w:rPr>
            </w:pPr>
            <w:r>
              <w:rPr>
                <w:rFonts w:ascii="Arial" w:hAnsi="Arial" w:cs="Arial"/>
                <w:sz w:val="20"/>
                <w:szCs w:val="20"/>
              </w:rPr>
              <w:t>costs associated with [</w:t>
            </w:r>
            <w:r w:rsidRPr="00A16EE6">
              <w:rPr>
                <w:rFonts w:ascii="Arial" w:hAnsi="Arial" w:cs="Arial"/>
                <w:sz w:val="20"/>
                <w:szCs w:val="20"/>
                <w:highlight w:val="lightGray"/>
              </w:rPr>
              <w:t>insert other project specific risks</w:t>
            </w:r>
            <w:r>
              <w:rPr>
                <w:rFonts w:ascii="Arial" w:hAnsi="Arial" w:cs="Arial"/>
                <w:sz w:val="20"/>
                <w:szCs w:val="20"/>
              </w:rPr>
              <w:t>]</w:t>
            </w:r>
            <w:r w:rsidR="00935B72">
              <w:rPr>
                <w:rFonts w:ascii="Arial" w:hAnsi="Arial" w:cs="Arial"/>
                <w:sz w:val="20"/>
                <w:szCs w:val="20"/>
              </w:rPr>
              <w:t xml:space="preserve"> as assessed at </w:t>
            </w:r>
            <w:r w:rsidR="00C54CD2">
              <w:rPr>
                <w:rFonts w:ascii="Arial" w:hAnsi="Arial" w:cs="Arial"/>
                <w:sz w:val="20"/>
                <w:szCs w:val="20"/>
              </w:rPr>
              <w:t xml:space="preserve">liability </w:t>
            </w:r>
            <w:r w:rsidR="00935B72" w:rsidRPr="00C54CD2">
              <w:rPr>
                <w:rFonts w:ascii="Arial" w:hAnsi="Arial" w:cs="Arial"/>
                <w:b/>
                <w:sz w:val="20"/>
                <w:szCs w:val="20"/>
              </w:rPr>
              <w:t>risk</w:t>
            </w:r>
            <w:r w:rsidR="00935B72">
              <w:rPr>
                <w:rFonts w:ascii="Arial" w:hAnsi="Arial" w:cs="Arial"/>
                <w:sz w:val="20"/>
                <w:szCs w:val="20"/>
              </w:rPr>
              <w:t xml:space="preserve"> </w:t>
            </w:r>
            <w:r w:rsidR="00935B72" w:rsidRPr="00E81DA1">
              <w:rPr>
                <w:rFonts w:ascii="Arial" w:hAnsi="Arial" w:cs="Arial"/>
                <w:b/>
                <w:sz w:val="20"/>
                <w:szCs w:val="20"/>
              </w:rPr>
              <w:t>10</w:t>
            </w:r>
            <w:r w:rsidR="00935B72">
              <w:rPr>
                <w:rFonts w:ascii="Arial" w:hAnsi="Arial" w:cs="Arial"/>
                <w:sz w:val="20"/>
                <w:szCs w:val="20"/>
              </w:rPr>
              <w:t xml:space="preserve"> in Table 1 above,</w:t>
            </w:r>
            <w:r>
              <w:rPr>
                <w:rFonts w:ascii="Arial" w:hAnsi="Arial" w:cs="Arial"/>
                <w:sz w:val="20"/>
                <w:szCs w:val="20"/>
              </w:rPr>
              <w:t xml:space="preserve"> </w:t>
            </w:r>
            <w:r w:rsidR="005D655F">
              <w:rPr>
                <w:rFonts w:ascii="Arial" w:hAnsi="Arial" w:cs="Arial"/>
                <w:sz w:val="20"/>
                <w:szCs w:val="20"/>
              </w:rPr>
              <w:t>$</w:t>
            </w:r>
            <w:r w:rsidR="005D655F" w:rsidRPr="00662AFB">
              <w:rPr>
                <w:rFonts w:ascii="Arial" w:hAnsi="Arial" w:cs="Arial"/>
                <w:sz w:val="20"/>
                <w:szCs w:val="20"/>
              </w:rPr>
              <w:t>X</w:t>
            </w:r>
            <w:r w:rsidR="005D655F">
              <w:rPr>
                <w:rFonts w:ascii="Arial" w:hAnsi="Arial" w:cs="Arial"/>
                <w:sz w:val="20"/>
                <w:szCs w:val="20"/>
              </w:rPr>
              <w:t>m.</w:t>
            </w:r>
          </w:p>
          <w:p w14:paraId="26083BEB" w14:textId="5FCA2ED6" w:rsidR="000C79D9" w:rsidRDefault="000C79D9" w:rsidP="00E81DA1">
            <w:pPr>
              <w:pStyle w:val="Default"/>
              <w:spacing w:before="110" w:after="110"/>
              <w:rPr>
                <w:rFonts w:ascii="Arial" w:hAnsi="Arial" w:cs="Arial"/>
                <w:sz w:val="20"/>
                <w:szCs w:val="20"/>
              </w:rPr>
            </w:pPr>
            <w:r>
              <w:rPr>
                <w:rFonts w:ascii="Arial" w:hAnsi="Arial" w:cs="Arial"/>
                <w:sz w:val="20"/>
                <w:szCs w:val="20"/>
              </w:rPr>
              <w:lastRenderedPageBreak/>
              <w:t xml:space="preserve">The </w:t>
            </w:r>
            <w:r w:rsidR="005D655F">
              <w:rPr>
                <w:rFonts w:ascii="Arial" w:hAnsi="Arial" w:cs="Arial"/>
                <w:sz w:val="20"/>
                <w:szCs w:val="20"/>
              </w:rPr>
              <w:t xml:space="preserve">total cumulative </w:t>
            </w:r>
            <w:r>
              <w:rPr>
                <w:rFonts w:ascii="Arial" w:hAnsi="Arial" w:cs="Arial"/>
                <w:sz w:val="20"/>
                <w:szCs w:val="20"/>
              </w:rPr>
              <w:t>Maximu</w:t>
            </w:r>
            <w:r w:rsidR="005D655F">
              <w:rPr>
                <w:rFonts w:ascii="Arial" w:hAnsi="Arial" w:cs="Arial"/>
                <w:sz w:val="20"/>
                <w:szCs w:val="20"/>
              </w:rPr>
              <w:t>m Probable Loss</w:t>
            </w:r>
            <w:r w:rsidR="00727AD9">
              <w:rPr>
                <w:rFonts w:ascii="Arial" w:hAnsi="Arial" w:cs="Arial"/>
                <w:sz w:val="20"/>
                <w:szCs w:val="20"/>
              </w:rPr>
              <w:t xml:space="preserve"> is </w:t>
            </w:r>
            <w:r>
              <w:rPr>
                <w:rFonts w:ascii="Arial" w:hAnsi="Arial" w:cs="Arial"/>
                <w:sz w:val="20"/>
                <w:szCs w:val="20"/>
              </w:rPr>
              <w:t>$</w:t>
            </w:r>
            <w:r w:rsidR="005E2753">
              <w:rPr>
                <w:rFonts w:ascii="Arial" w:hAnsi="Arial" w:cs="Arial"/>
                <w:sz w:val="20"/>
                <w:szCs w:val="20"/>
              </w:rPr>
              <w:t>1</w:t>
            </w:r>
            <w:r w:rsidR="00A10164">
              <w:rPr>
                <w:rFonts w:ascii="Arial" w:hAnsi="Arial" w:cs="Arial"/>
                <w:sz w:val="20"/>
                <w:szCs w:val="20"/>
              </w:rPr>
              <w:t>29.3</w:t>
            </w:r>
            <w:r w:rsidR="005E2753">
              <w:rPr>
                <w:rFonts w:ascii="Arial" w:hAnsi="Arial" w:cs="Arial"/>
                <w:sz w:val="20"/>
                <w:szCs w:val="20"/>
              </w:rPr>
              <w:t>m</w:t>
            </w:r>
            <w:r w:rsidR="00727AD9">
              <w:rPr>
                <w:rFonts w:ascii="Arial" w:hAnsi="Arial" w:cs="Arial"/>
                <w:sz w:val="20"/>
                <w:szCs w:val="20"/>
              </w:rPr>
              <w:t xml:space="preserve">.  </w:t>
            </w:r>
          </w:p>
          <w:p w14:paraId="7B3D732C" w14:textId="420EDC94" w:rsidR="0083662C" w:rsidRDefault="00F66406" w:rsidP="00DB28EF">
            <w:pPr>
              <w:pStyle w:val="Default"/>
              <w:spacing w:before="110" w:after="110"/>
              <w:rPr>
                <w:rFonts w:ascii="Arial" w:hAnsi="Arial" w:cs="Arial"/>
                <w:sz w:val="20"/>
                <w:szCs w:val="20"/>
              </w:rPr>
            </w:pPr>
            <w:r>
              <w:rPr>
                <w:rFonts w:ascii="Arial" w:hAnsi="Arial" w:cs="Arial"/>
                <w:sz w:val="20"/>
                <w:szCs w:val="20"/>
              </w:rPr>
              <w:t xml:space="preserve">The </w:t>
            </w:r>
            <w:r w:rsidR="00F33B93">
              <w:rPr>
                <w:rFonts w:ascii="Arial" w:hAnsi="Arial" w:cs="Arial"/>
                <w:sz w:val="20"/>
                <w:szCs w:val="20"/>
              </w:rPr>
              <w:t>p</w:t>
            </w:r>
            <w:r>
              <w:rPr>
                <w:rFonts w:ascii="Arial" w:hAnsi="Arial" w:cs="Arial"/>
                <w:sz w:val="20"/>
                <w:szCs w:val="20"/>
              </w:rPr>
              <w:t>roject proposes a liability cap that is lower than the</w:t>
            </w:r>
            <w:r w:rsidR="005D655F">
              <w:rPr>
                <w:rFonts w:ascii="Arial" w:hAnsi="Arial" w:cs="Arial"/>
                <w:sz w:val="20"/>
                <w:szCs w:val="20"/>
              </w:rPr>
              <w:t xml:space="preserve"> total cumulative</w:t>
            </w:r>
            <w:r>
              <w:rPr>
                <w:rFonts w:ascii="Arial" w:hAnsi="Arial" w:cs="Arial"/>
                <w:sz w:val="20"/>
                <w:szCs w:val="20"/>
              </w:rPr>
              <w:t xml:space="preserve"> Maximum Probable Loss as</w:t>
            </w:r>
            <w:r w:rsidR="00935B72">
              <w:rPr>
                <w:rFonts w:ascii="Arial" w:hAnsi="Arial" w:cs="Arial"/>
                <w:sz w:val="20"/>
                <w:szCs w:val="20"/>
              </w:rPr>
              <w:t xml:space="preserve"> the likelihood of </w:t>
            </w:r>
            <w:r w:rsidR="005D655F">
              <w:rPr>
                <w:rFonts w:ascii="Arial" w:hAnsi="Arial" w:cs="Arial"/>
                <w:sz w:val="20"/>
                <w:szCs w:val="20"/>
              </w:rPr>
              <w:t xml:space="preserve">realising </w:t>
            </w:r>
            <w:r w:rsidR="00935B72">
              <w:rPr>
                <w:rFonts w:ascii="Arial" w:hAnsi="Arial" w:cs="Arial"/>
                <w:sz w:val="20"/>
                <w:szCs w:val="20"/>
              </w:rPr>
              <w:t xml:space="preserve">all </w:t>
            </w:r>
            <w:r w:rsidR="005D655F">
              <w:rPr>
                <w:rFonts w:ascii="Arial" w:hAnsi="Arial" w:cs="Arial"/>
                <w:sz w:val="20"/>
                <w:szCs w:val="20"/>
              </w:rPr>
              <w:t>these</w:t>
            </w:r>
            <w:r w:rsidR="00935B72">
              <w:rPr>
                <w:rFonts w:ascii="Arial" w:hAnsi="Arial" w:cs="Arial"/>
                <w:sz w:val="20"/>
                <w:szCs w:val="20"/>
              </w:rPr>
              <w:t xml:space="preserve"> Maximum Probable Loss</w:t>
            </w:r>
            <w:r w:rsidR="005D655F">
              <w:rPr>
                <w:rFonts w:ascii="Arial" w:hAnsi="Arial" w:cs="Arial"/>
                <w:sz w:val="20"/>
                <w:szCs w:val="20"/>
              </w:rPr>
              <w:t>es i</w:t>
            </w:r>
            <w:r w:rsidR="00935B72">
              <w:rPr>
                <w:rFonts w:ascii="Arial" w:hAnsi="Arial" w:cs="Arial"/>
                <w:sz w:val="20"/>
                <w:szCs w:val="20"/>
              </w:rPr>
              <w:t>s unlikely</w:t>
            </w:r>
            <w:r w:rsidR="00DB10D1">
              <w:rPr>
                <w:rFonts w:ascii="Arial" w:hAnsi="Arial" w:cs="Arial"/>
                <w:sz w:val="20"/>
                <w:szCs w:val="20"/>
              </w:rPr>
              <w:t>. However, it is possible that loss or damage to half the supplies could lead to a failure to complete the contract</w:t>
            </w:r>
            <w:r w:rsidR="006815C1" w:rsidRPr="000D795E">
              <w:rPr>
                <w:rFonts w:ascii="Arial" w:hAnsi="Arial" w:cs="Arial"/>
                <w:sz w:val="20"/>
                <w:szCs w:val="20"/>
              </w:rPr>
              <w:t>.</w:t>
            </w:r>
            <w:r w:rsidR="00DB10D1" w:rsidRPr="000D795E">
              <w:rPr>
                <w:rFonts w:ascii="Arial" w:hAnsi="Arial" w:cs="Arial"/>
                <w:sz w:val="20"/>
                <w:szCs w:val="20"/>
              </w:rPr>
              <w:t xml:space="preserve"> </w:t>
            </w:r>
            <w:r w:rsidR="006815C1" w:rsidRPr="000D795E">
              <w:rPr>
                <w:rFonts w:ascii="Arial" w:hAnsi="Arial" w:cs="Arial"/>
                <w:sz w:val="20"/>
                <w:szCs w:val="20"/>
              </w:rPr>
              <w:t xml:space="preserve"> H</w:t>
            </w:r>
            <w:r w:rsidR="00DB10D1" w:rsidRPr="000D795E">
              <w:rPr>
                <w:rFonts w:ascii="Arial" w:hAnsi="Arial" w:cs="Arial"/>
                <w:sz w:val="20"/>
                <w:szCs w:val="20"/>
              </w:rPr>
              <w:t>ence the cumulative total of the</w:t>
            </w:r>
            <w:r w:rsidR="006815C1" w:rsidRPr="000D795E">
              <w:rPr>
                <w:rFonts w:ascii="Arial" w:hAnsi="Arial" w:cs="Arial"/>
                <w:sz w:val="20"/>
                <w:szCs w:val="20"/>
              </w:rPr>
              <w:t xml:space="preserve"> costs associated with the loss of or damage to supplies and the contractor failing to complete the contract</w:t>
            </w:r>
            <w:r w:rsidR="00DB10D1" w:rsidRPr="000D795E">
              <w:rPr>
                <w:rFonts w:ascii="Arial" w:hAnsi="Arial" w:cs="Arial"/>
                <w:sz w:val="20"/>
                <w:szCs w:val="20"/>
              </w:rPr>
              <w:t xml:space="preserve"> has been used as the </w:t>
            </w:r>
            <w:r w:rsidR="008B46F6" w:rsidRPr="000D795E">
              <w:rPr>
                <w:rFonts w:ascii="Arial" w:hAnsi="Arial" w:cs="Arial"/>
                <w:sz w:val="20"/>
                <w:szCs w:val="20"/>
              </w:rPr>
              <w:t>P</w:t>
            </w:r>
            <w:r w:rsidR="00DB10D1" w:rsidRPr="000D795E">
              <w:rPr>
                <w:rFonts w:ascii="Arial" w:hAnsi="Arial" w:cs="Arial"/>
                <w:sz w:val="20"/>
                <w:szCs w:val="20"/>
              </w:rPr>
              <w:t xml:space="preserve">roposed </w:t>
            </w:r>
            <w:r w:rsidR="008B46F6" w:rsidRPr="000D795E">
              <w:rPr>
                <w:rFonts w:ascii="Arial" w:hAnsi="Arial" w:cs="Arial"/>
                <w:sz w:val="20"/>
                <w:szCs w:val="20"/>
              </w:rPr>
              <w:t>L</w:t>
            </w:r>
            <w:r w:rsidR="00DB10D1" w:rsidRPr="000D795E">
              <w:rPr>
                <w:rFonts w:ascii="Arial" w:hAnsi="Arial" w:cs="Arial"/>
                <w:sz w:val="20"/>
                <w:szCs w:val="20"/>
              </w:rPr>
              <w:t xml:space="preserve">iability </w:t>
            </w:r>
            <w:r w:rsidR="008B46F6" w:rsidRPr="000D795E">
              <w:rPr>
                <w:rFonts w:ascii="Arial" w:hAnsi="Arial" w:cs="Arial"/>
                <w:sz w:val="20"/>
                <w:szCs w:val="20"/>
              </w:rPr>
              <w:t>C</w:t>
            </w:r>
            <w:r w:rsidR="00DB10D1" w:rsidRPr="000D795E">
              <w:rPr>
                <w:rFonts w:ascii="Arial" w:hAnsi="Arial" w:cs="Arial"/>
                <w:sz w:val="20"/>
                <w:szCs w:val="20"/>
              </w:rPr>
              <w:t>ap</w:t>
            </w:r>
            <w:r w:rsidR="00EE668F" w:rsidRPr="000D795E">
              <w:rPr>
                <w:rFonts w:ascii="Arial" w:hAnsi="Arial" w:cs="Arial"/>
                <w:sz w:val="20"/>
                <w:szCs w:val="20"/>
              </w:rPr>
              <w:t xml:space="preserve"> </w:t>
            </w:r>
            <w:r w:rsidR="006815C1" w:rsidRPr="000D795E">
              <w:rPr>
                <w:rFonts w:ascii="Arial" w:hAnsi="Arial" w:cs="Arial"/>
                <w:sz w:val="20"/>
                <w:szCs w:val="20"/>
              </w:rPr>
              <w:t>($50m + $30m = $80m)</w:t>
            </w:r>
            <w:r w:rsidR="006815C1">
              <w:rPr>
                <w:rFonts w:ascii="Arial" w:hAnsi="Arial" w:cs="Arial"/>
                <w:sz w:val="20"/>
                <w:szCs w:val="20"/>
              </w:rPr>
              <w:t xml:space="preserve"> </w:t>
            </w:r>
            <w:r w:rsidR="00EE668F">
              <w:rPr>
                <w:rFonts w:ascii="Arial" w:hAnsi="Arial" w:cs="Arial"/>
                <w:sz w:val="20"/>
                <w:szCs w:val="20"/>
              </w:rPr>
              <w:t>and costs associated with</w:t>
            </w:r>
            <w:r w:rsidR="00DB28EF">
              <w:rPr>
                <w:rFonts w:ascii="Arial" w:hAnsi="Arial" w:cs="Arial"/>
                <w:sz w:val="20"/>
                <w:szCs w:val="20"/>
              </w:rPr>
              <w:t xml:space="preserve"> loss of use of supplies and</w:t>
            </w:r>
            <w:r w:rsidR="00EE668F">
              <w:rPr>
                <w:rFonts w:ascii="Arial" w:hAnsi="Arial" w:cs="Arial"/>
                <w:sz w:val="20"/>
                <w:szCs w:val="20"/>
              </w:rPr>
              <w:t xml:space="preserve"> the contractor causing pure economic loss to a third party have been excluded </w:t>
            </w:r>
            <w:r w:rsidR="00FA5810">
              <w:rPr>
                <w:rFonts w:ascii="Arial" w:hAnsi="Arial" w:cs="Arial"/>
                <w:sz w:val="20"/>
                <w:szCs w:val="20"/>
              </w:rPr>
              <w:t>from the calculation of</w:t>
            </w:r>
            <w:r w:rsidR="00EE668F">
              <w:rPr>
                <w:rFonts w:ascii="Arial" w:hAnsi="Arial" w:cs="Arial"/>
                <w:sz w:val="20"/>
                <w:szCs w:val="20"/>
              </w:rPr>
              <w:t xml:space="preserve"> the Proposed Liability Cap</w:t>
            </w:r>
            <w:r w:rsidR="00935B72">
              <w:rPr>
                <w:rFonts w:ascii="Arial" w:hAnsi="Arial" w:cs="Arial"/>
                <w:sz w:val="20"/>
                <w:szCs w:val="20"/>
              </w:rPr>
              <w:t xml:space="preserve">. </w:t>
            </w:r>
          </w:p>
          <w:p w14:paraId="24EF5CB2" w14:textId="50A7A194" w:rsidR="00E81DA1" w:rsidRPr="00634E17" w:rsidRDefault="00060B50" w:rsidP="00A16EE6">
            <w:pPr>
              <w:pStyle w:val="NoteToDrafters-ASDEFCON"/>
              <w:rPr>
                <w:rFonts w:cs="Arial"/>
                <w:szCs w:val="20"/>
              </w:rPr>
            </w:pPr>
            <w:r>
              <w:rPr>
                <w:rFonts w:cs="Arial"/>
                <w:szCs w:val="20"/>
              </w:rPr>
              <w:t>Note to drafters:  A</w:t>
            </w:r>
            <w:r w:rsidR="00FA5810">
              <w:rPr>
                <w:rFonts w:cs="Arial"/>
                <w:szCs w:val="20"/>
              </w:rPr>
              <w:t>lthough the M</w:t>
            </w:r>
            <w:r w:rsidR="00F33B93">
              <w:rPr>
                <w:rFonts w:cs="Arial"/>
                <w:szCs w:val="20"/>
              </w:rPr>
              <w:t xml:space="preserve">aximum </w:t>
            </w:r>
            <w:r w:rsidR="00FA5810">
              <w:rPr>
                <w:rFonts w:cs="Arial"/>
                <w:szCs w:val="20"/>
              </w:rPr>
              <w:t>P</w:t>
            </w:r>
            <w:r w:rsidR="00F33B93">
              <w:rPr>
                <w:rFonts w:cs="Arial"/>
                <w:szCs w:val="20"/>
              </w:rPr>
              <w:t xml:space="preserve">robable </w:t>
            </w:r>
            <w:r w:rsidR="00FA5810">
              <w:rPr>
                <w:rFonts w:cs="Arial"/>
                <w:szCs w:val="20"/>
              </w:rPr>
              <w:t>L</w:t>
            </w:r>
            <w:r w:rsidR="00F33B93">
              <w:rPr>
                <w:rFonts w:cs="Arial"/>
                <w:szCs w:val="20"/>
              </w:rPr>
              <w:t>oss</w:t>
            </w:r>
            <w:r w:rsidR="00FA5810">
              <w:rPr>
                <w:rFonts w:cs="Arial"/>
                <w:szCs w:val="20"/>
              </w:rPr>
              <w:t xml:space="preserve"> for </w:t>
            </w:r>
            <w:r w:rsidR="00DB28EF">
              <w:rPr>
                <w:rFonts w:cs="Arial"/>
                <w:szCs w:val="20"/>
              </w:rPr>
              <w:t xml:space="preserve">loss of use of supplies and </w:t>
            </w:r>
            <w:r w:rsidR="00FA5810">
              <w:rPr>
                <w:rFonts w:cs="Arial"/>
                <w:szCs w:val="20"/>
              </w:rPr>
              <w:t>pure economic loss ha</w:t>
            </w:r>
            <w:r w:rsidR="00DB28EF">
              <w:rPr>
                <w:rFonts w:cs="Arial"/>
                <w:szCs w:val="20"/>
              </w:rPr>
              <w:t>ve</w:t>
            </w:r>
            <w:r w:rsidR="00FA5810">
              <w:rPr>
                <w:rFonts w:cs="Arial"/>
                <w:szCs w:val="20"/>
              </w:rPr>
              <w:t xml:space="preserve"> not been </w:t>
            </w:r>
            <w:r w:rsidR="00FA5810" w:rsidRPr="00060B50">
              <w:t>included</w:t>
            </w:r>
            <w:r w:rsidR="00FA5810">
              <w:rPr>
                <w:rFonts w:cs="Arial"/>
                <w:szCs w:val="20"/>
              </w:rPr>
              <w:t xml:space="preserve"> in the calculation for setting this liability cap, </w:t>
            </w:r>
            <w:r w:rsidR="00DB28EF">
              <w:rPr>
                <w:rFonts w:cs="Arial"/>
                <w:szCs w:val="20"/>
              </w:rPr>
              <w:t>these losses are</w:t>
            </w:r>
            <w:r w:rsidR="00FA5810">
              <w:rPr>
                <w:rFonts w:cs="Arial"/>
                <w:szCs w:val="20"/>
              </w:rPr>
              <w:t xml:space="preserve"> nonetheless covered </w:t>
            </w:r>
            <w:r w:rsidR="00D16CDC">
              <w:rPr>
                <w:rFonts w:cs="Arial"/>
                <w:szCs w:val="20"/>
              </w:rPr>
              <w:t xml:space="preserve">by this cap </w:t>
            </w:r>
            <w:r w:rsidR="00FA5810">
              <w:rPr>
                <w:rFonts w:cs="Arial"/>
                <w:szCs w:val="20"/>
              </w:rPr>
              <w:t>in the event th</w:t>
            </w:r>
            <w:r w:rsidR="00DB28EF">
              <w:rPr>
                <w:rFonts w:cs="Arial"/>
                <w:szCs w:val="20"/>
              </w:rPr>
              <w:t>e</w:t>
            </w:r>
            <w:r w:rsidR="00FA5810">
              <w:rPr>
                <w:rFonts w:cs="Arial"/>
                <w:szCs w:val="20"/>
              </w:rPr>
              <w:t>s</w:t>
            </w:r>
            <w:r w:rsidR="00DB28EF">
              <w:rPr>
                <w:rFonts w:cs="Arial"/>
                <w:szCs w:val="20"/>
              </w:rPr>
              <w:t>e</w:t>
            </w:r>
            <w:r w:rsidR="00FA5810">
              <w:rPr>
                <w:rFonts w:cs="Arial"/>
                <w:szCs w:val="20"/>
              </w:rPr>
              <w:t xml:space="preserve"> risk</w:t>
            </w:r>
            <w:r w:rsidR="00DB28EF">
              <w:rPr>
                <w:rFonts w:cs="Arial"/>
                <w:szCs w:val="20"/>
              </w:rPr>
              <w:t>s</w:t>
            </w:r>
            <w:r w:rsidR="00FA5810">
              <w:rPr>
                <w:rFonts w:cs="Arial"/>
                <w:szCs w:val="20"/>
              </w:rPr>
              <w:t xml:space="preserve"> occur.</w:t>
            </w:r>
          </w:p>
        </w:tc>
        <w:tc>
          <w:tcPr>
            <w:tcW w:w="1600" w:type="dxa"/>
            <w:tcBorders>
              <w:top w:val="single" w:sz="8" w:space="0" w:color="000000"/>
              <w:left w:val="single" w:sz="8" w:space="0" w:color="000000"/>
              <w:bottom w:val="single" w:sz="8" w:space="0" w:color="000000"/>
              <w:right w:val="single" w:sz="8" w:space="0" w:color="000000"/>
            </w:tcBorders>
          </w:tcPr>
          <w:p w14:paraId="0DC3E698" w14:textId="131B1300" w:rsidR="00A867B9" w:rsidRPr="00634E17" w:rsidRDefault="00A867B9" w:rsidP="00A10164">
            <w:pPr>
              <w:pStyle w:val="Default"/>
              <w:spacing w:before="110" w:after="110"/>
              <w:rPr>
                <w:rFonts w:ascii="Arial" w:hAnsi="Arial" w:cs="Arial"/>
                <w:sz w:val="20"/>
                <w:szCs w:val="20"/>
              </w:rPr>
            </w:pPr>
            <w:r>
              <w:rPr>
                <w:rFonts w:ascii="Arial" w:hAnsi="Arial" w:cs="Arial"/>
                <w:sz w:val="20"/>
                <w:szCs w:val="20"/>
              </w:rPr>
              <w:lastRenderedPageBreak/>
              <w:t>$</w:t>
            </w:r>
            <w:r w:rsidR="005E2753">
              <w:rPr>
                <w:rFonts w:ascii="Arial" w:hAnsi="Arial" w:cs="Arial"/>
                <w:sz w:val="20"/>
                <w:szCs w:val="20"/>
              </w:rPr>
              <w:t>1</w:t>
            </w:r>
            <w:r w:rsidR="00A10164">
              <w:rPr>
                <w:rFonts w:ascii="Arial" w:hAnsi="Arial" w:cs="Arial"/>
                <w:sz w:val="20"/>
                <w:szCs w:val="20"/>
              </w:rPr>
              <w:t>29.3</w:t>
            </w:r>
            <w:r w:rsidR="005E2753">
              <w:rPr>
                <w:rFonts w:ascii="Arial" w:hAnsi="Arial" w:cs="Arial"/>
                <w:sz w:val="20"/>
                <w:szCs w:val="20"/>
              </w:rPr>
              <w:t>m</w:t>
            </w:r>
          </w:p>
        </w:tc>
        <w:tc>
          <w:tcPr>
            <w:tcW w:w="1600" w:type="dxa"/>
            <w:tcBorders>
              <w:top w:val="single" w:sz="8" w:space="0" w:color="000000"/>
              <w:left w:val="single" w:sz="8" w:space="0" w:color="000000"/>
              <w:bottom w:val="single" w:sz="8" w:space="0" w:color="000000"/>
              <w:right w:val="single" w:sz="8" w:space="0" w:color="000000"/>
            </w:tcBorders>
          </w:tcPr>
          <w:p w14:paraId="2F720519" w14:textId="77777777" w:rsidR="00A867B9" w:rsidRPr="00634E17" w:rsidRDefault="00A867B9" w:rsidP="00E81DA1">
            <w:pPr>
              <w:pStyle w:val="Default"/>
              <w:spacing w:before="110" w:after="110"/>
              <w:rPr>
                <w:rFonts w:ascii="Arial" w:hAnsi="Arial" w:cs="Arial"/>
                <w:sz w:val="20"/>
                <w:szCs w:val="20"/>
              </w:rPr>
            </w:pPr>
            <w:r>
              <w:rPr>
                <w:rFonts w:ascii="Arial" w:hAnsi="Arial" w:cs="Arial"/>
                <w:sz w:val="20"/>
                <w:szCs w:val="20"/>
              </w:rPr>
              <w:t>$</w:t>
            </w:r>
            <w:r w:rsidR="005E2753">
              <w:rPr>
                <w:rFonts w:ascii="Arial" w:hAnsi="Arial" w:cs="Arial"/>
                <w:sz w:val="20"/>
                <w:szCs w:val="20"/>
              </w:rPr>
              <w:t>80m</w:t>
            </w:r>
          </w:p>
        </w:tc>
        <w:tc>
          <w:tcPr>
            <w:tcW w:w="1893" w:type="dxa"/>
            <w:tcBorders>
              <w:top w:val="single" w:sz="8" w:space="0" w:color="000000"/>
              <w:left w:val="single" w:sz="8" w:space="0" w:color="000000"/>
              <w:bottom w:val="single" w:sz="8" w:space="0" w:color="000000"/>
              <w:right w:val="single" w:sz="8" w:space="0" w:color="000000"/>
            </w:tcBorders>
          </w:tcPr>
          <w:p w14:paraId="443A6C8B" w14:textId="77777777" w:rsidR="00A867B9" w:rsidRPr="00634E17" w:rsidRDefault="00A867B9" w:rsidP="00E81DA1">
            <w:pPr>
              <w:pStyle w:val="Default"/>
              <w:spacing w:before="110" w:after="110"/>
              <w:rPr>
                <w:rFonts w:ascii="Arial" w:hAnsi="Arial" w:cs="Arial"/>
                <w:sz w:val="20"/>
                <w:szCs w:val="20"/>
              </w:rPr>
            </w:pPr>
            <w:r>
              <w:rPr>
                <w:rFonts w:ascii="Arial" w:hAnsi="Arial" w:cs="Arial"/>
                <w:sz w:val="20"/>
                <w:szCs w:val="20"/>
              </w:rPr>
              <w:t>Unlikely</w:t>
            </w:r>
          </w:p>
        </w:tc>
      </w:tr>
      <w:tr w:rsidR="00A867B9" w:rsidRPr="00634E17" w14:paraId="1EB921B4" w14:textId="77777777" w:rsidTr="00211DF0">
        <w:trPr>
          <w:cantSplit/>
        </w:trPr>
        <w:tc>
          <w:tcPr>
            <w:tcW w:w="3608" w:type="dxa"/>
            <w:tcBorders>
              <w:top w:val="single" w:sz="8" w:space="0" w:color="000000"/>
              <w:left w:val="single" w:sz="8" w:space="0" w:color="000000"/>
              <w:bottom w:val="single" w:sz="8" w:space="0" w:color="000000"/>
              <w:right w:val="single" w:sz="8" w:space="0" w:color="000000"/>
            </w:tcBorders>
          </w:tcPr>
          <w:p w14:paraId="3E996D58" w14:textId="56A712D3" w:rsidR="00F66406" w:rsidRDefault="00F66406" w:rsidP="006277D8">
            <w:pPr>
              <w:pStyle w:val="ASDEFCONOption"/>
            </w:pPr>
            <w:r>
              <w:t>OPTIONAL</w:t>
            </w:r>
          </w:p>
          <w:p w14:paraId="1F04A44F" w14:textId="77777777" w:rsidR="00E81DA1" w:rsidRPr="00634E17" w:rsidRDefault="00F33B93" w:rsidP="00E20365">
            <w:pPr>
              <w:pStyle w:val="Default"/>
              <w:tabs>
                <w:tab w:val="left" w:pos="284"/>
              </w:tabs>
              <w:spacing w:before="110" w:after="110"/>
              <w:rPr>
                <w:rFonts w:ascii="Arial" w:hAnsi="Arial" w:cs="Arial"/>
                <w:sz w:val="20"/>
                <w:szCs w:val="20"/>
              </w:rPr>
            </w:pPr>
            <w:r>
              <w:rPr>
                <w:rFonts w:ascii="Arial" w:hAnsi="Arial" w:cs="Arial"/>
                <w:sz w:val="20"/>
                <w:szCs w:val="20"/>
              </w:rPr>
              <w:t>T</w:t>
            </w:r>
            <w:r w:rsidR="00A867B9" w:rsidRPr="00C41095">
              <w:rPr>
                <w:rFonts w:ascii="Arial" w:hAnsi="Arial" w:cs="Arial"/>
                <w:sz w:val="20"/>
                <w:szCs w:val="20"/>
              </w:rPr>
              <w:t xml:space="preserve">he maximum amount that the </w:t>
            </w:r>
            <w:r w:rsidR="00E20365">
              <w:rPr>
                <w:rFonts w:ascii="Arial" w:hAnsi="Arial" w:cs="Arial"/>
                <w:sz w:val="20"/>
                <w:szCs w:val="20"/>
              </w:rPr>
              <w:t>c</w:t>
            </w:r>
            <w:r w:rsidR="00A867B9" w:rsidRPr="00C41095">
              <w:rPr>
                <w:rFonts w:ascii="Arial" w:hAnsi="Arial" w:cs="Arial"/>
                <w:sz w:val="20"/>
                <w:szCs w:val="20"/>
              </w:rPr>
              <w:t xml:space="preserve">ontractor is liable to pay as compensation or damages under the </w:t>
            </w:r>
            <w:r w:rsidR="008C3BD2">
              <w:rPr>
                <w:rFonts w:ascii="Arial" w:hAnsi="Arial" w:cs="Arial"/>
                <w:sz w:val="20"/>
                <w:szCs w:val="20"/>
              </w:rPr>
              <w:t>c</w:t>
            </w:r>
            <w:r w:rsidR="00A867B9" w:rsidRPr="00C41095">
              <w:rPr>
                <w:rFonts w:ascii="Arial" w:hAnsi="Arial" w:cs="Arial"/>
                <w:sz w:val="20"/>
                <w:szCs w:val="20"/>
              </w:rPr>
              <w:t xml:space="preserve">ontract (including at general law, in negligence or in equity) in respect of </w:t>
            </w:r>
            <w:r w:rsidR="008C3BD2">
              <w:rPr>
                <w:rFonts w:ascii="Arial" w:hAnsi="Arial" w:cs="Arial"/>
                <w:sz w:val="20"/>
                <w:szCs w:val="20"/>
              </w:rPr>
              <w:t>l</w:t>
            </w:r>
            <w:r w:rsidR="00A867B9" w:rsidRPr="00C41095">
              <w:rPr>
                <w:rFonts w:ascii="Arial" w:hAnsi="Arial" w:cs="Arial"/>
                <w:sz w:val="20"/>
                <w:szCs w:val="20"/>
              </w:rPr>
              <w:t>oss suffered by the Commonwealth of any kind</w:t>
            </w:r>
          </w:p>
        </w:tc>
        <w:tc>
          <w:tcPr>
            <w:tcW w:w="5900" w:type="dxa"/>
            <w:tcBorders>
              <w:top w:val="single" w:sz="8" w:space="0" w:color="000000"/>
              <w:left w:val="single" w:sz="8" w:space="0" w:color="000000"/>
              <w:bottom w:val="single" w:sz="8" w:space="0" w:color="000000"/>
              <w:right w:val="single" w:sz="8" w:space="0" w:color="000000"/>
            </w:tcBorders>
          </w:tcPr>
          <w:p w14:paraId="10202E4A" w14:textId="77777777" w:rsidR="00A867B9" w:rsidRDefault="000C79D9" w:rsidP="00E81DA1">
            <w:pPr>
              <w:pStyle w:val="Default"/>
              <w:spacing w:before="110" w:after="110"/>
              <w:rPr>
                <w:rFonts w:ascii="Arial" w:hAnsi="Arial" w:cs="Arial"/>
                <w:sz w:val="20"/>
                <w:szCs w:val="20"/>
              </w:rPr>
            </w:pPr>
            <w:r>
              <w:rPr>
                <w:rFonts w:ascii="Arial" w:hAnsi="Arial" w:cs="Arial"/>
                <w:sz w:val="20"/>
                <w:szCs w:val="20"/>
              </w:rPr>
              <w:t xml:space="preserve">The </w:t>
            </w:r>
            <w:r w:rsidR="00F33B93">
              <w:rPr>
                <w:rFonts w:ascii="Arial" w:hAnsi="Arial" w:cs="Arial"/>
                <w:sz w:val="20"/>
                <w:szCs w:val="20"/>
              </w:rPr>
              <w:t>p</w:t>
            </w:r>
            <w:r w:rsidR="00135E1B">
              <w:rPr>
                <w:rFonts w:ascii="Arial" w:hAnsi="Arial" w:cs="Arial"/>
                <w:sz w:val="20"/>
                <w:szCs w:val="20"/>
              </w:rPr>
              <w:t>roject</w:t>
            </w:r>
            <w:r>
              <w:rPr>
                <w:rFonts w:ascii="Arial" w:hAnsi="Arial" w:cs="Arial"/>
                <w:sz w:val="20"/>
                <w:szCs w:val="20"/>
              </w:rPr>
              <w:t xml:space="preserve"> has included the optional aggregate liability cap in the </w:t>
            </w:r>
            <w:r w:rsidR="00E20365">
              <w:rPr>
                <w:rFonts w:ascii="Arial" w:hAnsi="Arial" w:cs="Arial"/>
                <w:sz w:val="20"/>
                <w:szCs w:val="20"/>
              </w:rPr>
              <w:t>l</w:t>
            </w:r>
            <w:r>
              <w:rPr>
                <w:rFonts w:ascii="Arial" w:hAnsi="Arial" w:cs="Arial"/>
                <w:sz w:val="20"/>
                <w:szCs w:val="20"/>
              </w:rPr>
              <w:t xml:space="preserve">iability </w:t>
            </w:r>
            <w:r w:rsidR="00E20365">
              <w:rPr>
                <w:rFonts w:ascii="Arial" w:hAnsi="Arial" w:cs="Arial"/>
                <w:sz w:val="20"/>
                <w:szCs w:val="20"/>
              </w:rPr>
              <w:t>c</w:t>
            </w:r>
            <w:r>
              <w:rPr>
                <w:rFonts w:ascii="Arial" w:hAnsi="Arial" w:cs="Arial"/>
                <w:sz w:val="20"/>
                <w:szCs w:val="20"/>
              </w:rPr>
              <w:t xml:space="preserve">aps clause.  </w:t>
            </w:r>
          </w:p>
          <w:p w14:paraId="3D9C7A37" w14:textId="79BBF92A" w:rsidR="00742164" w:rsidRPr="00634E17" w:rsidRDefault="00935B72" w:rsidP="0010242E">
            <w:pPr>
              <w:pStyle w:val="Default"/>
              <w:spacing w:before="110" w:after="110"/>
              <w:rPr>
                <w:rFonts w:ascii="Arial" w:hAnsi="Arial" w:cs="Arial"/>
                <w:sz w:val="20"/>
                <w:szCs w:val="20"/>
              </w:rPr>
            </w:pPr>
            <w:r>
              <w:rPr>
                <w:rFonts w:ascii="Arial" w:hAnsi="Arial" w:cs="Arial"/>
                <w:sz w:val="20"/>
                <w:szCs w:val="20"/>
              </w:rPr>
              <w:t xml:space="preserve">The </w:t>
            </w:r>
            <w:r w:rsidR="00135E1B">
              <w:rPr>
                <w:rFonts w:ascii="Arial" w:hAnsi="Arial" w:cs="Arial"/>
                <w:sz w:val="20"/>
                <w:szCs w:val="20"/>
              </w:rPr>
              <w:t>cumulative</w:t>
            </w:r>
            <w:r w:rsidR="005D655F">
              <w:rPr>
                <w:rFonts w:ascii="Arial" w:hAnsi="Arial" w:cs="Arial"/>
                <w:sz w:val="20"/>
                <w:szCs w:val="20"/>
              </w:rPr>
              <w:t xml:space="preserve"> total for the above</w:t>
            </w:r>
            <w:r w:rsidR="00135E1B">
              <w:rPr>
                <w:rFonts w:ascii="Arial" w:hAnsi="Arial" w:cs="Arial"/>
                <w:sz w:val="20"/>
                <w:szCs w:val="20"/>
              </w:rPr>
              <w:t xml:space="preserve"> liability caps</w:t>
            </w:r>
            <w:r>
              <w:rPr>
                <w:rFonts w:ascii="Arial" w:hAnsi="Arial" w:cs="Arial"/>
                <w:sz w:val="20"/>
                <w:szCs w:val="20"/>
              </w:rPr>
              <w:t xml:space="preserve"> is </w:t>
            </w:r>
            <w:r w:rsidR="00742164" w:rsidRPr="00B001FA">
              <w:rPr>
                <w:rFonts w:ascii="Arial" w:hAnsi="Arial" w:cs="Arial"/>
                <w:sz w:val="20"/>
                <w:szCs w:val="20"/>
              </w:rPr>
              <w:t>$</w:t>
            </w:r>
            <w:r w:rsidR="005E2753" w:rsidRPr="00B001FA">
              <w:rPr>
                <w:rFonts w:ascii="Arial" w:hAnsi="Arial" w:cs="Arial"/>
                <w:sz w:val="20"/>
                <w:szCs w:val="20"/>
              </w:rPr>
              <w:t>1</w:t>
            </w:r>
            <w:r w:rsidR="0010242E">
              <w:rPr>
                <w:rFonts w:ascii="Arial" w:hAnsi="Arial" w:cs="Arial"/>
                <w:sz w:val="20"/>
                <w:szCs w:val="20"/>
              </w:rPr>
              <w:t>62</w:t>
            </w:r>
            <w:r w:rsidR="00D16CDC">
              <w:rPr>
                <w:rFonts w:ascii="Arial" w:hAnsi="Arial" w:cs="Arial"/>
                <w:sz w:val="20"/>
                <w:szCs w:val="20"/>
              </w:rPr>
              <w:t>.</w:t>
            </w:r>
            <w:r w:rsidR="0010242E">
              <w:rPr>
                <w:rFonts w:ascii="Arial" w:hAnsi="Arial" w:cs="Arial"/>
                <w:sz w:val="20"/>
                <w:szCs w:val="20"/>
              </w:rPr>
              <w:t>3</w:t>
            </w:r>
            <w:r w:rsidR="00D16CDC" w:rsidRPr="00B001FA">
              <w:rPr>
                <w:rFonts w:ascii="Arial" w:hAnsi="Arial" w:cs="Arial"/>
                <w:sz w:val="20"/>
                <w:szCs w:val="20"/>
              </w:rPr>
              <w:t>m</w:t>
            </w:r>
            <w:r>
              <w:rPr>
                <w:rFonts w:ascii="Arial" w:hAnsi="Arial" w:cs="Arial"/>
                <w:sz w:val="20"/>
                <w:szCs w:val="20"/>
              </w:rPr>
              <w:t xml:space="preserve">. </w:t>
            </w:r>
            <w:r w:rsidR="009E1002">
              <w:rPr>
                <w:rFonts w:ascii="Arial" w:hAnsi="Arial" w:cs="Arial"/>
                <w:sz w:val="20"/>
                <w:szCs w:val="20"/>
              </w:rPr>
              <w:t xml:space="preserve"> </w:t>
            </w:r>
          </w:p>
        </w:tc>
        <w:tc>
          <w:tcPr>
            <w:tcW w:w="1600" w:type="dxa"/>
            <w:tcBorders>
              <w:top w:val="single" w:sz="8" w:space="0" w:color="000000"/>
              <w:left w:val="single" w:sz="8" w:space="0" w:color="000000"/>
              <w:bottom w:val="single" w:sz="8" w:space="0" w:color="000000"/>
              <w:right w:val="single" w:sz="8" w:space="0" w:color="000000"/>
            </w:tcBorders>
          </w:tcPr>
          <w:p w14:paraId="370965B3" w14:textId="77777777" w:rsidR="00A867B9" w:rsidRPr="00634E17" w:rsidRDefault="00B001FA" w:rsidP="00E81DA1">
            <w:pPr>
              <w:pStyle w:val="Default"/>
              <w:spacing w:before="110" w:after="110"/>
              <w:rPr>
                <w:rFonts w:ascii="Arial" w:hAnsi="Arial" w:cs="Arial"/>
                <w:sz w:val="20"/>
                <w:szCs w:val="20"/>
              </w:rPr>
            </w:pPr>
            <w:r w:rsidRPr="00B001FA">
              <w:rPr>
                <w:rFonts w:ascii="Arial" w:hAnsi="Arial" w:cs="Arial"/>
                <w:sz w:val="20"/>
                <w:szCs w:val="20"/>
              </w:rPr>
              <w:t>$</w:t>
            </w:r>
            <w:r w:rsidR="005E2753">
              <w:rPr>
                <w:rFonts w:ascii="Arial" w:hAnsi="Arial" w:cs="Arial"/>
                <w:sz w:val="20"/>
                <w:szCs w:val="20"/>
              </w:rPr>
              <w:t>211</w:t>
            </w:r>
            <w:r w:rsidR="00D16CDC">
              <w:rPr>
                <w:rFonts w:ascii="Arial" w:hAnsi="Arial" w:cs="Arial"/>
                <w:sz w:val="20"/>
                <w:szCs w:val="20"/>
              </w:rPr>
              <w:t>.6</w:t>
            </w:r>
            <w:r w:rsidR="00D16CDC" w:rsidRPr="00B001FA">
              <w:rPr>
                <w:rFonts w:ascii="Arial" w:hAnsi="Arial" w:cs="Arial"/>
                <w:sz w:val="20"/>
                <w:szCs w:val="20"/>
              </w:rPr>
              <w:t>m</w:t>
            </w:r>
          </w:p>
        </w:tc>
        <w:tc>
          <w:tcPr>
            <w:tcW w:w="1600" w:type="dxa"/>
            <w:tcBorders>
              <w:top w:val="single" w:sz="8" w:space="0" w:color="000000"/>
              <w:left w:val="single" w:sz="8" w:space="0" w:color="000000"/>
              <w:bottom w:val="single" w:sz="8" w:space="0" w:color="000000"/>
              <w:right w:val="single" w:sz="8" w:space="0" w:color="000000"/>
            </w:tcBorders>
          </w:tcPr>
          <w:p w14:paraId="7E8F5612" w14:textId="74E0397D" w:rsidR="00A867B9" w:rsidRPr="00634E17" w:rsidRDefault="00C66FE5" w:rsidP="00E81DA1">
            <w:pPr>
              <w:pStyle w:val="Default"/>
              <w:spacing w:before="110" w:after="110"/>
              <w:rPr>
                <w:rFonts w:ascii="Arial" w:hAnsi="Arial" w:cs="Arial"/>
                <w:sz w:val="20"/>
                <w:szCs w:val="20"/>
              </w:rPr>
            </w:pPr>
            <w:r>
              <w:rPr>
                <w:rFonts w:ascii="Arial" w:hAnsi="Arial" w:cs="Arial"/>
                <w:sz w:val="20"/>
                <w:szCs w:val="20"/>
              </w:rPr>
              <w:t>$162.3m</w:t>
            </w:r>
          </w:p>
        </w:tc>
        <w:tc>
          <w:tcPr>
            <w:tcW w:w="1893" w:type="dxa"/>
            <w:tcBorders>
              <w:top w:val="single" w:sz="8" w:space="0" w:color="000000"/>
              <w:left w:val="single" w:sz="8" w:space="0" w:color="000000"/>
              <w:bottom w:val="single" w:sz="8" w:space="0" w:color="000000"/>
              <w:right w:val="single" w:sz="8" w:space="0" w:color="000000"/>
            </w:tcBorders>
          </w:tcPr>
          <w:p w14:paraId="5BE5ECC5" w14:textId="77777777" w:rsidR="00A867B9" w:rsidRPr="00634E17" w:rsidRDefault="00935B72" w:rsidP="00E81DA1">
            <w:pPr>
              <w:pStyle w:val="Default"/>
              <w:spacing w:before="110" w:after="110"/>
              <w:rPr>
                <w:rFonts w:ascii="Arial" w:hAnsi="Arial" w:cs="Arial"/>
                <w:sz w:val="20"/>
                <w:szCs w:val="20"/>
              </w:rPr>
            </w:pPr>
            <w:r>
              <w:rPr>
                <w:rFonts w:ascii="Arial" w:hAnsi="Arial" w:cs="Arial"/>
                <w:sz w:val="20"/>
                <w:szCs w:val="20"/>
              </w:rPr>
              <w:t>Rare</w:t>
            </w:r>
          </w:p>
        </w:tc>
      </w:tr>
    </w:tbl>
    <w:p w14:paraId="0E26C78C" w14:textId="35F636DB" w:rsidR="00CA1C9D" w:rsidRDefault="00CA1C9D" w:rsidP="00E70CD9">
      <w:pPr>
        <w:spacing w:after="0"/>
      </w:pPr>
    </w:p>
    <w:p w14:paraId="2C000FFE" w14:textId="7FF831D7" w:rsidR="00CA1C9D" w:rsidRDefault="00CA1C9D">
      <w:pPr>
        <w:spacing w:after="0"/>
        <w:jc w:val="left"/>
      </w:pPr>
      <w:r>
        <w:br w:type="page"/>
      </w:r>
    </w:p>
    <w:p w14:paraId="4497D797" w14:textId="04728679" w:rsidR="00BD1ED2" w:rsidRDefault="005214A6" w:rsidP="00BD1ED2">
      <w:pPr>
        <w:pStyle w:val="Table10ptHeading-ASDEFCON"/>
      </w:pPr>
      <w:r>
        <w:lastRenderedPageBreak/>
        <w:t>Table 3</w:t>
      </w:r>
      <w:r w:rsidRPr="005214A6">
        <w:t xml:space="preserve"> – </w:t>
      </w:r>
      <w:r w:rsidR="00BD1ED2">
        <w:t>Proposed Insurance Types and Limits</w:t>
      </w:r>
    </w:p>
    <w:p w14:paraId="776BB5DC" w14:textId="523489D0" w:rsidR="00CA1C9D" w:rsidRDefault="00CA1C9D" w:rsidP="00591C16">
      <w:pPr>
        <w:pStyle w:val="NoteToDrafters-ASDEFCON"/>
        <w:keepNext w:val="0"/>
        <w:ind w:left="-294" w:right="-292"/>
      </w:pPr>
      <w:r>
        <w:t xml:space="preserve">Note to drafters:  The Proposed Insurance Types and Limits at Table 3 covers the types of insurance policies contained in the ASDEFCON insurance clause and the losses each policy insures against. Drafters should select the insurance policies relevant to their contract and detail the loss scenario relevant to determining the Maximum Probable Loss under the policy.  Additional project specific insurances may be included for losses not covered by the ASDEFCON insurance policy options.  </w:t>
      </w:r>
      <w:r w:rsidRPr="00B52D4F">
        <w:t xml:space="preserve">Drafters only need to look at contractor insurances under the contract and </w:t>
      </w:r>
      <w:smartTag w:uri="urn:schemas-microsoft-com:office:smarttags" w:element="place">
        <w:smartTag w:uri="urn:schemas-microsoft-com:office:smarttags" w:element="PlaceName">
          <w:r w:rsidRPr="00B52D4F">
            <w:t>not</w:t>
          </w:r>
        </w:smartTag>
        <w:r w:rsidRPr="00B52D4F">
          <w:t xml:space="preserve"> </w:t>
        </w:r>
        <w:smartTag w:uri="urn:schemas-microsoft-com:office:smarttags" w:element="PlaceType">
          <w:r w:rsidRPr="00B52D4F">
            <w:t>Commonwealth</w:t>
          </w:r>
        </w:smartTag>
      </w:smartTag>
      <w:r w:rsidRPr="00B52D4F">
        <w:t xml:space="preserve"> insurances (i.e. Comcover) except in exceptional circumstances (i.e. lease of ships) where special arrangements may be made.</w:t>
      </w:r>
    </w:p>
    <w:p w14:paraId="7A2CA7BD" w14:textId="77777777" w:rsidR="00CA1C9D" w:rsidRDefault="00CA1C9D" w:rsidP="00591C16">
      <w:pPr>
        <w:pStyle w:val="NoteToDrafters-ASDEFCON"/>
        <w:keepNext w:val="0"/>
        <w:ind w:left="-294" w:right="-292"/>
      </w:pPr>
      <w:r w:rsidRPr="00190F8C">
        <w:t xml:space="preserve">Drafters should note that when </w:t>
      </w:r>
      <w:r>
        <w:t>determining insurance limits</w:t>
      </w:r>
      <w:r w:rsidRPr="00190F8C">
        <w:t xml:space="preserve">, they ensure that </w:t>
      </w:r>
      <w:r>
        <w:t>the loss scenarios</w:t>
      </w:r>
      <w:r w:rsidRPr="00190F8C">
        <w:t xml:space="preserve"> are real</w:t>
      </w:r>
      <w:r>
        <w:t>istic so that the Commonwealth does not pay for more insurance than is necessary.</w:t>
      </w:r>
    </w:p>
    <w:p w14:paraId="1E2BF061" w14:textId="058D0598" w:rsidR="00CA1C9D" w:rsidRDefault="00D61E4C" w:rsidP="00591C16">
      <w:pPr>
        <w:pStyle w:val="NoteToDrafters-ASDEFCON"/>
        <w:keepNext w:val="0"/>
        <w:ind w:left="-294" w:right="-292"/>
      </w:pPr>
      <w:r>
        <w:t xml:space="preserve">The </w:t>
      </w:r>
      <w:r w:rsidR="00CA1C9D">
        <w:t xml:space="preserve">standard liability risks in the Contract Liability Risk Log in Table 1 do not easily translate into completing Table 3 because liability risks may have multiple insurances identified as being required to cover it.  For example, liability risk 4 may be covered by nine insurance types.  This is because insurance policies are structured to cover different industries and types of activities, different components of loss or damage suffered and different parties.  The fact that a liability risk is covered by one insurance type does not mean that another identified insurance type is not required.  Drafters should have regard to the ASDEFCON Insurance Handbook, which fully describes the differences in the types of insurances and why multiple insurance types for the same liability risk are required.  </w:t>
      </w:r>
    </w:p>
    <w:p w14:paraId="16B17050" w14:textId="115C3F47" w:rsidR="00CA1C9D" w:rsidRDefault="00CA1C9D" w:rsidP="00591C16">
      <w:pPr>
        <w:pStyle w:val="NoteToDrafters-ASDEFCON"/>
        <w:keepNext w:val="0"/>
        <w:ind w:left="-294" w:right="-292"/>
      </w:pPr>
      <w:r>
        <w:t xml:space="preserve">Guidance on the ASDEFCON insurance clause can be found in the </w:t>
      </w:r>
      <w:hyperlink r:id="rId20" w:history="1">
        <w:r w:rsidRPr="008B0543">
          <w:rPr>
            <w:rStyle w:val="Hyperlink"/>
          </w:rPr>
          <w:t>ASDEFCON Insurance Handbook</w:t>
        </w:r>
      </w:hyperlink>
      <w:r>
        <w:t xml:space="preserve"> and the insurance case studies found on the </w:t>
      </w:r>
      <w:hyperlink r:id="rId21" w:history="1">
        <w:r w:rsidRPr="00B15F15">
          <w:rPr>
            <w:rStyle w:val="Hyperlink"/>
          </w:rPr>
          <w:t>ACIP Initiative webpage</w:t>
        </w:r>
      </w:hyperlink>
      <w:r>
        <w:t>.</w:t>
      </w:r>
    </w:p>
    <w:tbl>
      <w:tblPr>
        <w:tblW w:w="14562" w:type="dxa"/>
        <w:tblInd w:w="-294" w:type="dxa"/>
        <w:tblBorders>
          <w:top w:val="nil"/>
          <w:left w:val="nil"/>
          <w:bottom w:val="nil"/>
          <w:right w:val="nil"/>
        </w:tblBorders>
        <w:tblLook w:val="0000" w:firstRow="0" w:lastRow="0" w:firstColumn="0" w:lastColumn="0" w:noHBand="0" w:noVBand="0"/>
      </w:tblPr>
      <w:tblGrid>
        <w:gridCol w:w="2654"/>
        <w:gridCol w:w="8431"/>
        <w:gridCol w:w="1538"/>
        <w:gridCol w:w="1939"/>
      </w:tblGrid>
      <w:tr w:rsidR="00D440AE" w:rsidRPr="00634E17" w14:paraId="702B99A4" w14:textId="77777777" w:rsidTr="009A4FEC">
        <w:trPr>
          <w:tblHeader/>
        </w:trPr>
        <w:tc>
          <w:tcPr>
            <w:tcW w:w="0" w:type="auto"/>
            <w:tcBorders>
              <w:top w:val="single" w:sz="8" w:space="0" w:color="000000"/>
              <w:left w:val="single" w:sz="8" w:space="0" w:color="000000"/>
              <w:bottom w:val="single" w:sz="8" w:space="0" w:color="000000"/>
              <w:right w:val="single" w:sz="8" w:space="0" w:color="000000"/>
            </w:tcBorders>
            <w:shd w:val="clear" w:color="auto" w:fill="D8D8D8"/>
          </w:tcPr>
          <w:p w14:paraId="0122DE50" w14:textId="77777777" w:rsidR="00CA1C9D" w:rsidRPr="00634E17" w:rsidRDefault="00CA1C9D" w:rsidP="00CA1C9D">
            <w:pPr>
              <w:pStyle w:val="Default"/>
              <w:spacing w:before="110" w:after="110"/>
              <w:rPr>
                <w:rFonts w:ascii="Arial" w:hAnsi="Arial" w:cs="Arial"/>
                <w:sz w:val="20"/>
                <w:szCs w:val="20"/>
              </w:rPr>
            </w:pPr>
            <w:r>
              <w:rPr>
                <w:rFonts w:ascii="Arial" w:hAnsi="Arial" w:cs="Arial"/>
                <w:b/>
                <w:bCs/>
                <w:sz w:val="20"/>
                <w:szCs w:val="20"/>
              </w:rPr>
              <w:t>Insurance Types</w:t>
            </w:r>
          </w:p>
        </w:tc>
        <w:tc>
          <w:tcPr>
            <w:tcW w:w="8431" w:type="dxa"/>
            <w:tcBorders>
              <w:top w:val="single" w:sz="8" w:space="0" w:color="000000"/>
              <w:left w:val="single" w:sz="8" w:space="0" w:color="000000"/>
              <w:bottom w:val="single" w:sz="8" w:space="0" w:color="000000"/>
              <w:right w:val="single" w:sz="8" w:space="0" w:color="000000"/>
            </w:tcBorders>
            <w:shd w:val="clear" w:color="auto" w:fill="D8D8D8"/>
          </w:tcPr>
          <w:p w14:paraId="31B75CE9" w14:textId="77777777" w:rsidR="00CA1C9D" w:rsidRPr="00593BBB" w:rsidRDefault="00CA1C9D" w:rsidP="00CA1C9D">
            <w:pPr>
              <w:pStyle w:val="Default"/>
              <w:spacing w:before="110" w:after="110"/>
              <w:rPr>
                <w:rFonts w:ascii="Arial" w:hAnsi="Arial" w:cs="Arial"/>
                <w:b/>
                <w:sz w:val="20"/>
                <w:szCs w:val="20"/>
              </w:rPr>
            </w:pPr>
            <w:r>
              <w:rPr>
                <w:rFonts w:ascii="Arial" w:hAnsi="Arial" w:cs="Arial"/>
                <w:b/>
                <w:sz w:val="20"/>
                <w:szCs w:val="20"/>
              </w:rPr>
              <w:t>Assessment</w:t>
            </w:r>
          </w:p>
        </w:tc>
        <w:tc>
          <w:tcPr>
            <w:tcW w:w="0" w:type="auto"/>
            <w:tcBorders>
              <w:top w:val="single" w:sz="8" w:space="0" w:color="000000"/>
              <w:left w:val="single" w:sz="8" w:space="0" w:color="000000"/>
              <w:bottom w:val="single" w:sz="8" w:space="0" w:color="000000"/>
              <w:right w:val="single" w:sz="8" w:space="0" w:color="000000"/>
            </w:tcBorders>
            <w:shd w:val="clear" w:color="auto" w:fill="D8D8D8"/>
          </w:tcPr>
          <w:p w14:paraId="627412D0" w14:textId="77777777" w:rsidR="00CA1C9D" w:rsidRPr="00593BBB" w:rsidRDefault="00CA1C9D" w:rsidP="00CA1C9D">
            <w:pPr>
              <w:pStyle w:val="Default"/>
              <w:spacing w:before="110" w:after="110"/>
              <w:rPr>
                <w:rFonts w:ascii="Arial" w:hAnsi="Arial" w:cs="Arial"/>
                <w:b/>
                <w:sz w:val="20"/>
                <w:szCs w:val="20"/>
              </w:rPr>
            </w:pPr>
            <w:r>
              <w:rPr>
                <w:rFonts w:ascii="Arial" w:hAnsi="Arial" w:cs="Arial"/>
                <w:b/>
                <w:sz w:val="20"/>
                <w:szCs w:val="20"/>
              </w:rPr>
              <w:t>Maximum Probable Loss</w:t>
            </w:r>
          </w:p>
        </w:tc>
        <w:tc>
          <w:tcPr>
            <w:tcW w:w="0" w:type="auto"/>
            <w:tcBorders>
              <w:top w:val="single" w:sz="8" w:space="0" w:color="000000"/>
              <w:left w:val="single" w:sz="8" w:space="0" w:color="000000"/>
              <w:bottom w:val="single" w:sz="8" w:space="0" w:color="000000"/>
              <w:right w:val="single" w:sz="8" w:space="0" w:color="000000"/>
            </w:tcBorders>
            <w:shd w:val="clear" w:color="auto" w:fill="D8D8D8"/>
          </w:tcPr>
          <w:p w14:paraId="1A029570" w14:textId="77777777" w:rsidR="00CA1C9D" w:rsidRPr="00C41095" w:rsidRDefault="00CA1C9D" w:rsidP="00CA1C9D">
            <w:pPr>
              <w:pStyle w:val="Default"/>
              <w:spacing w:before="110" w:after="110"/>
              <w:rPr>
                <w:rFonts w:ascii="Arial" w:hAnsi="Arial" w:cs="Arial"/>
                <w:b/>
                <w:bCs/>
                <w:sz w:val="20"/>
                <w:szCs w:val="20"/>
              </w:rPr>
            </w:pPr>
            <w:r>
              <w:rPr>
                <w:rFonts w:ascii="Arial" w:hAnsi="Arial" w:cs="Arial"/>
                <w:b/>
                <w:bCs/>
                <w:sz w:val="20"/>
                <w:szCs w:val="20"/>
              </w:rPr>
              <w:t>Proposed insurance limit</w:t>
            </w:r>
          </w:p>
        </w:tc>
      </w:tr>
      <w:tr w:rsidR="00D440AE" w:rsidRPr="00634E17" w14:paraId="78F7F0BC" w14:textId="77777777" w:rsidTr="009A4FEC">
        <w:tc>
          <w:tcPr>
            <w:tcW w:w="0" w:type="auto"/>
            <w:tcBorders>
              <w:top w:val="single" w:sz="8" w:space="0" w:color="000000"/>
              <w:left w:val="single" w:sz="8" w:space="0" w:color="000000"/>
              <w:bottom w:val="single" w:sz="8" w:space="0" w:color="000000"/>
              <w:right w:val="single" w:sz="8" w:space="0" w:color="000000"/>
            </w:tcBorders>
          </w:tcPr>
          <w:p w14:paraId="53B20C02" w14:textId="347AE51E" w:rsidR="00662AFB" w:rsidRPr="00634E17" w:rsidRDefault="00662AFB" w:rsidP="00CA1C9D">
            <w:pPr>
              <w:pStyle w:val="Default"/>
              <w:tabs>
                <w:tab w:val="left" w:pos="284"/>
              </w:tabs>
              <w:spacing w:before="110" w:after="110"/>
              <w:rPr>
                <w:rFonts w:ascii="Arial" w:hAnsi="Arial" w:cs="Arial"/>
                <w:sz w:val="20"/>
                <w:szCs w:val="20"/>
              </w:rPr>
            </w:pPr>
            <w:r>
              <w:rPr>
                <w:rFonts w:ascii="Arial" w:hAnsi="Arial" w:cs="Arial"/>
                <w:sz w:val="20"/>
                <w:szCs w:val="20"/>
              </w:rPr>
              <w:t xml:space="preserve">Workers compensation OR workers compensation where work will be performed outside of </w:t>
            </w:r>
            <w:smartTag w:uri="urn:schemas-microsoft-com:office:smarttags" w:element="place">
              <w:smartTag w:uri="urn:schemas-microsoft-com:office:smarttags" w:element="country-region">
                <w:r>
                  <w:rPr>
                    <w:rFonts w:ascii="Arial" w:hAnsi="Arial" w:cs="Arial"/>
                    <w:sz w:val="20"/>
                    <w:szCs w:val="20"/>
                  </w:rPr>
                  <w:t>Australia</w:t>
                </w:r>
              </w:smartTag>
            </w:smartTag>
          </w:p>
        </w:tc>
        <w:tc>
          <w:tcPr>
            <w:tcW w:w="8431" w:type="dxa"/>
            <w:tcBorders>
              <w:top w:val="single" w:sz="8" w:space="0" w:color="000000"/>
              <w:left w:val="single" w:sz="8" w:space="0" w:color="000000"/>
              <w:bottom w:val="single" w:sz="8" w:space="0" w:color="000000"/>
              <w:right w:val="single" w:sz="8" w:space="0" w:color="000000"/>
            </w:tcBorders>
          </w:tcPr>
          <w:p w14:paraId="69B484B7" w14:textId="3B4902FE" w:rsidR="00662AFB" w:rsidRDefault="00662AFB" w:rsidP="00A16EE6">
            <w:pPr>
              <w:pStyle w:val="Default"/>
              <w:tabs>
                <w:tab w:val="left" w:pos="284"/>
              </w:tabs>
              <w:spacing w:before="110" w:after="110"/>
              <w:rPr>
                <w:rFonts w:ascii="Arial" w:hAnsi="Arial" w:cs="Arial"/>
                <w:sz w:val="20"/>
                <w:szCs w:val="20"/>
              </w:rPr>
            </w:pPr>
            <w:r>
              <w:rPr>
                <w:rFonts w:ascii="Arial" w:hAnsi="Arial" w:cs="Arial"/>
                <w:sz w:val="20"/>
                <w:szCs w:val="20"/>
              </w:rPr>
              <w:t>To insure the</w:t>
            </w:r>
            <w:r w:rsidRPr="00A20F8C">
              <w:rPr>
                <w:rFonts w:ascii="Arial" w:hAnsi="Arial" w:cs="Arial"/>
                <w:sz w:val="20"/>
                <w:szCs w:val="20"/>
              </w:rPr>
              <w:t xml:space="preserve"> </w:t>
            </w:r>
            <w:r>
              <w:rPr>
                <w:rFonts w:ascii="Arial" w:hAnsi="Arial" w:cs="Arial"/>
                <w:sz w:val="20"/>
                <w:szCs w:val="20"/>
              </w:rPr>
              <w:t xml:space="preserve">contractor against liability for </w:t>
            </w:r>
            <w:r w:rsidRPr="00BF3810">
              <w:rPr>
                <w:rFonts w:ascii="Arial" w:hAnsi="Arial" w:cs="Arial"/>
                <w:sz w:val="20"/>
                <w:szCs w:val="20"/>
              </w:rPr>
              <w:t>bodily injury, disease, illness or death of</w:t>
            </w:r>
            <w:r>
              <w:rPr>
                <w:rFonts w:ascii="Arial" w:hAnsi="Arial" w:cs="Arial"/>
                <w:sz w:val="20"/>
                <w:szCs w:val="20"/>
              </w:rPr>
              <w:t xml:space="preserve"> the contractor's employees</w:t>
            </w:r>
            <w:r w:rsidR="00B04D26">
              <w:rPr>
                <w:rFonts w:ascii="Arial" w:hAnsi="Arial" w:cs="Arial"/>
                <w:sz w:val="20"/>
                <w:szCs w:val="20"/>
              </w:rPr>
              <w:t xml:space="preserve"> and officers</w:t>
            </w:r>
            <w:r>
              <w:rPr>
                <w:rFonts w:ascii="Arial" w:hAnsi="Arial" w:cs="Arial"/>
                <w:sz w:val="20"/>
                <w:szCs w:val="20"/>
              </w:rPr>
              <w:t xml:space="preserve">. </w:t>
            </w:r>
          </w:p>
          <w:p w14:paraId="006E43C4" w14:textId="77777777" w:rsidR="00662AFB" w:rsidRPr="00F90FD6" w:rsidRDefault="00662AFB" w:rsidP="00CA1C9D">
            <w:pPr>
              <w:pStyle w:val="Default"/>
              <w:spacing w:before="110" w:after="110"/>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pct15" w:color="auto" w:fill="auto"/>
          </w:tcPr>
          <w:p w14:paraId="212A63B0" w14:textId="36DA8498" w:rsidR="00662AFB" w:rsidRPr="00634E17" w:rsidRDefault="00662AFB" w:rsidP="00CA1C9D">
            <w:pPr>
              <w:pStyle w:val="Default"/>
              <w:spacing w:before="110" w:after="110"/>
              <w:rPr>
                <w:rFonts w:ascii="Arial" w:hAnsi="Arial" w:cs="Arial"/>
                <w:sz w:val="20"/>
                <w:szCs w:val="20"/>
              </w:rPr>
            </w:pPr>
            <w:r>
              <w:rPr>
                <w:rFonts w:ascii="Arial" w:hAnsi="Arial" w:cs="Arial"/>
                <w:sz w:val="20"/>
                <w:szCs w:val="20"/>
              </w:rPr>
              <w:t>No insurance limit required to be specified</w:t>
            </w:r>
          </w:p>
        </w:tc>
        <w:tc>
          <w:tcPr>
            <w:tcW w:w="0" w:type="auto"/>
            <w:tcBorders>
              <w:top w:val="single" w:sz="8" w:space="0" w:color="000000"/>
              <w:left w:val="single" w:sz="8" w:space="0" w:color="000000"/>
              <w:bottom w:val="single" w:sz="8" w:space="0" w:color="000000"/>
              <w:right w:val="single" w:sz="8" w:space="0" w:color="000000"/>
            </w:tcBorders>
            <w:shd w:val="pct15" w:color="auto" w:fill="auto"/>
          </w:tcPr>
          <w:p w14:paraId="723F143A" w14:textId="222B6F47" w:rsidR="00662AFB" w:rsidRPr="00634E17" w:rsidRDefault="00662AFB" w:rsidP="00CA1C9D">
            <w:pPr>
              <w:pStyle w:val="Default"/>
              <w:spacing w:before="110" w:after="110"/>
              <w:rPr>
                <w:rFonts w:ascii="Arial" w:hAnsi="Arial" w:cs="Arial"/>
                <w:sz w:val="20"/>
                <w:szCs w:val="20"/>
              </w:rPr>
            </w:pPr>
            <w:r>
              <w:rPr>
                <w:rFonts w:ascii="Arial" w:hAnsi="Arial" w:cs="Arial"/>
                <w:sz w:val="20"/>
                <w:szCs w:val="20"/>
              </w:rPr>
              <w:t>No insurance limit required to be specified</w:t>
            </w:r>
          </w:p>
        </w:tc>
      </w:tr>
      <w:tr w:rsidR="00D440AE" w:rsidRPr="00634E17" w14:paraId="4A1EB215" w14:textId="77777777" w:rsidTr="009A4FEC">
        <w:tc>
          <w:tcPr>
            <w:tcW w:w="0" w:type="auto"/>
            <w:tcBorders>
              <w:top w:val="single" w:sz="8" w:space="0" w:color="000000"/>
              <w:left w:val="single" w:sz="8" w:space="0" w:color="000000"/>
              <w:bottom w:val="single" w:sz="8" w:space="0" w:color="000000"/>
              <w:right w:val="single" w:sz="8" w:space="0" w:color="000000"/>
            </w:tcBorders>
          </w:tcPr>
          <w:p w14:paraId="2320C15B" w14:textId="34B480BC" w:rsidR="00662AFB" w:rsidRDefault="00662AFB" w:rsidP="00E13B35">
            <w:pPr>
              <w:pStyle w:val="Default"/>
              <w:tabs>
                <w:tab w:val="left" w:pos="284"/>
              </w:tabs>
              <w:spacing w:before="110" w:after="110"/>
              <w:rPr>
                <w:rFonts w:ascii="Arial" w:hAnsi="Arial" w:cs="Arial"/>
                <w:sz w:val="20"/>
                <w:szCs w:val="20"/>
              </w:rPr>
            </w:pPr>
            <w:r>
              <w:rPr>
                <w:rFonts w:ascii="Arial" w:hAnsi="Arial" w:cs="Arial"/>
                <w:sz w:val="20"/>
                <w:szCs w:val="20"/>
              </w:rPr>
              <w:t>Public and products liability OR public liability</w:t>
            </w:r>
          </w:p>
          <w:p w14:paraId="5ADB6809" w14:textId="6246D377" w:rsidR="009650AA" w:rsidRPr="00634E17" w:rsidRDefault="00662AFB" w:rsidP="00AD5F65">
            <w:pPr>
              <w:pStyle w:val="NoteToDrafters-ASDEFCON"/>
            </w:pPr>
            <w:r>
              <w:t>Note to drafters:  Liability risks 2, 3, 4, 5, 6 and 7 may be relevant</w:t>
            </w:r>
          </w:p>
        </w:tc>
        <w:tc>
          <w:tcPr>
            <w:tcW w:w="8431" w:type="dxa"/>
            <w:tcBorders>
              <w:top w:val="single" w:sz="8" w:space="0" w:color="000000"/>
              <w:left w:val="single" w:sz="8" w:space="0" w:color="000000"/>
              <w:bottom w:val="single" w:sz="8" w:space="0" w:color="000000"/>
              <w:right w:val="single" w:sz="8" w:space="0" w:color="000000"/>
            </w:tcBorders>
          </w:tcPr>
          <w:p w14:paraId="68664A1B" w14:textId="5E576BC6" w:rsidR="00662AFB" w:rsidRDefault="00662AFB" w:rsidP="00E13B35">
            <w:pPr>
              <w:pStyle w:val="Default"/>
              <w:spacing w:before="110" w:after="110"/>
              <w:rPr>
                <w:rFonts w:ascii="Arial" w:hAnsi="Arial" w:cs="Arial"/>
                <w:sz w:val="20"/>
                <w:szCs w:val="20"/>
              </w:rPr>
            </w:pPr>
            <w:r>
              <w:rPr>
                <w:rFonts w:ascii="Arial" w:hAnsi="Arial" w:cs="Arial"/>
                <w:sz w:val="20"/>
                <w:szCs w:val="20"/>
              </w:rPr>
              <w:t>To insure the contractor ag</w:t>
            </w:r>
            <w:r w:rsidRPr="003E02C7">
              <w:rPr>
                <w:rFonts w:ascii="Arial" w:hAnsi="Arial" w:cs="Arial"/>
                <w:sz w:val="20"/>
                <w:szCs w:val="20"/>
              </w:rPr>
              <w:t>ain</w:t>
            </w:r>
            <w:r w:rsidRPr="00201E21">
              <w:rPr>
                <w:rFonts w:ascii="Arial" w:hAnsi="Arial" w:cs="Arial"/>
                <w:sz w:val="20"/>
                <w:szCs w:val="20"/>
              </w:rPr>
              <w:t>st</w:t>
            </w:r>
            <w:r w:rsidRPr="00B451D2">
              <w:rPr>
                <w:rFonts w:ascii="Arial" w:hAnsi="Arial" w:cs="Arial"/>
                <w:sz w:val="20"/>
                <w:szCs w:val="20"/>
              </w:rPr>
              <w:t xml:space="preserve"> </w:t>
            </w:r>
            <w:r>
              <w:rPr>
                <w:rFonts w:ascii="Arial" w:hAnsi="Arial" w:cs="Arial"/>
                <w:sz w:val="20"/>
                <w:szCs w:val="20"/>
              </w:rPr>
              <w:t xml:space="preserve">liability to third parties (including </w:t>
            </w:r>
            <w:r w:rsidR="00183DB7">
              <w:rPr>
                <w:rFonts w:ascii="Arial" w:hAnsi="Arial" w:cs="Arial"/>
                <w:sz w:val="20"/>
                <w:szCs w:val="20"/>
              </w:rPr>
              <w:t xml:space="preserve">the </w:t>
            </w:r>
            <w:r>
              <w:rPr>
                <w:rFonts w:ascii="Arial" w:hAnsi="Arial" w:cs="Arial"/>
                <w:sz w:val="20"/>
                <w:szCs w:val="20"/>
              </w:rPr>
              <w:t xml:space="preserve">Commonwealth) for loss, damage or loss of use of tangible property (other than contractor property) or </w:t>
            </w:r>
            <w:r w:rsidRPr="00BF3810">
              <w:rPr>
                <w:rFonts w:ascii="Arial" w:hAnsi="Arial" w:cs="Arial"/>
                <w:sz w:val="20"/>
                <w:szCs w:val="20"/>
              </w:rPr>
              <w:t>bodily injury, disease, illness or death of</w:t>
            </w:r>
            <w:r>
              <w:rPr>
                <w:rFonts w:ascii="Arial" w:hAnsi="Arial" w:cs="Arial"/>
                <w:sz w:val="20"/>
                <w:szCs w:val="20"/>
              </w:rPr>
              <w:t xml:space="preserve"> any person (other than contractor employees and officers) as a result of the contractor’s operations or activities or the </w:t>
            </w:r>
            <w:r w:rsidRPr="00057F29">
              <w:rPr>
                <w:rFonts w:ascii="Arial" w:hAnsi="Arial" w:cs="Arial"/>
                <w:sz w:val="20"/>
                <w:szCs w:val="20"/>
              </w:rPr>
              <w:t>manufacture, processing, alteration, repair, installation, supply, distribution or sale of products</w:t>
            </w:r>
            <w:r>
              <w:rPr>
                <w:rFonts w:ascii="Arial" w:hAnsi="Arial" w:cs="Arial"/>
                <w:sz w:val="20"/>
                <w:szCs w:val="20"/>
              </w:rPr>
              <w:t>.</w:t>
            </w:r>
          </w:p>
          <w:p w14:paraId="3735E4F2" w14:textId="77777777" w:rsidR="00662AFB" w:rsidRDefault="00662AFB" w:rsidP="00E13B35">
            <w:pPr>
              <w:pStyle w:val="Default"/>
              <w:spacing w:before="110" w:after="110"/>
              <w:rPr>
                <w:rFonts w:ascii="Arial" w:hAnsi="Arial" w:cs="Arial"/>
                <w:sz w:val="20"/>
                <w:szCs w:val="20"/>
              </w:rPr>
            </w:pPr>
            <w:r>
              <w:rPr>
                <w:rFonts w:ascii="Arial" w:hAnsi="Arial" w:cs="Arial"/>
                <w:sz w:val="20"/>
                <w:szCs w:val="20"/>
              </w:rPr>
              <w:lastRenderedPageBreak/>
              <w:t>This insurance excludes liabilities covered by other liability insurance policies such as aviation liability, hangarkeepers, marine liability, ship builder's liability, ship repairer's liability, motor vehicle and professional indemnity.</w:t>
            </w:r>
          </w:p>
          <w:p w14:paraId="299CEA69" w14:textId="77777777" w:rsidR="00662AFB" w:rsidRDefault="00662AFB" w:rsidP="00E13B35">
            <w:pPr>
              <w:pStyle w:val="Default"/>
              <w:spacing w:before="110" w:after="110"/>
              <w:rPr>
                <w:rFonts w:ascii="Arial" w:hAnsi="Arial" w:cs="Arial"/>
                <w:sz w:val="20"/>
                <w:szCs w:val="20"/>
              </w:rPr>
            </w:pPr>
            <w:r>
              <w:rPr>
                <w:rFonts w:ascii="Arial" w:hAnsi="Arial" w:cs="Arial"/>
                <w:sz w:val="20"/>
                <w:szCs w:val="20"/>
              </w:rPr>
              <w:t xml:space="preserve">The Maximum Probable Loss would be </w:t>
            </w:r>
            <w:r w:rsidRPr="002B0FED">
              <w:rPr>
                <w:rFonts w:ascii="Arial" w:hAnsi="Arial" w:cs="Arial"/>
                <w:b/>
                <w:sz w:val="20"/>
                <w:szCs w:val="20"/>
              </w:rPr>
              <w:t>[drafter to detail loss scenario]</w:t>
            </w:r>
            <w:r>
              <w:rPr>
                <w:rFonts w:ascii="Arial" w:hAnsi="Arial" w:cs="Arial"/>
                <w:sz w:val="20"/>
                <w:szCs w:val="20"/>
              </w:rPr>
              <w:t>.</w:t>
            </w:r>
          </w:p>
          <w:p w14:paraId="03D99777" w14:textId="0F694EE8" w:rsidR="00662AFB" w:rsidRDefault="00662AFB" w:rsidP="00E13B35">
            <w:pPr>
              <w:pStyle w:val="Default"/>
              <w:spacing w:before="110" w:after="110"/>
              <w:rPr>
                <w:rFonts w:ascii="Arial" w:hAnsi="Arial" w:cs="Arial"/>
                <w:sz w:val="20"/>
                <w:szCs w:val="20"/>
              </w:rPr>
            </w:pPr>
            <w:r>
              <w:rPr>
                <w:rFonts w:ascii="Arial" w:hAnsi="Arial" w:cs="Arial"/>
                <w:sz w:val="20"/>
                <w:szCs w:val="20"/>
              </w:rPr>
              <w:t xml:space="preserve">The project proposes an insurance amount that is </w:t>
            </w:r>
            <w:r w:rsidRPr="002B0FED">
              <w:rPr>
                <w:rFonts w:ascii="Arial" w:hAnsi="Arial" w:cs="Arial"/>
                <w:b/>
                <w:sz w:val="20"/>
                <w:szCs w:val="20"/>
              </w:rPr>
              <w:t>[equal to/higher than/lower than]</w:t>
            </w:r>
            <w:r>
              <w:rPr>
                <w:rFonts w:ascii="Arial" w:hAnsi="Arial" w:cs="Arial"/>
                <w:sz w:val="20"/>
                <w:szCs w:val="20"/>
              </w:rPr>
              <w:t xml:space="preserve"> the Maximum Probable Loss as </w:t>
            </w:r>
            <w:r w:rsidRPr="002B0FED">
              <w:rPr>
                <w:rFonts w:ascii="Arial" w:hAnsi="Arial" w:cs="Arial"/>
                <w:b/>
                <w:sz w:val="20"/>
                <w:szCs w:val="20"/>
              </w:rPr>
              <w:t>[drafter to justify proposed insurance amount]</w:t>
            </w:r>
            <w:r>
              <w:rPr>
                <w:rFonts w:ascii="Arial" w:hAnsi="Arial" w:cs="Arial"/>
                <w:sz w:val="20"/>
                <w:szCs w:val="20"/>
              </w:rPr>
              <w:t xml:space="preserve">. </w:t>
            </w:r>
          </w:p>
          <w:p w14:paraId="05868E57" w14:textId="6ABBD590" w:rsidR="00662AFB" w:rsidRPr="00634E17" w:rsidRDefault="00662AFB" w:rsidP="00C1779A">
            <w:pPr>
              <w:pStyle w:val="Default"/>
              <w:spacing w:before="110" w:after="110"/>
              <w:rPr>
                <w:rFonts w:ascii="Arial" w:hAnsi="Arial" w:cs="Arial"/>
                <w:sz w:val="20"/>
                <w:szCs w:val="20"/>
              </w:rPr>
            </w:pPr>
            <w:r>
              <w:rPr>
                <w:rFonts w:ascii="Arial" w:hAnsi="Arial" w:cs="Arial"/>
                <w:sz w:val="20"/>
                <w:szCs w:val="20"/>
              </w:rPr>
              <w:t xml:space="preserve">The sublimit for loss or damage to </w:t>
            </w:r>
            <w:r w:rsidRPr="000A0BEF">
              <w:rPr>
                <w:rFonts w:ascii="Arial" w:hAnsi="Arial" w:cs="Arial"/>
                <w:sz w:val="20"/>
                <w:szCs w:val="20"/>
              </w:rPr>
              <w:t>GFF, GFE and</w:t>
            </w:r>
            <w:r>
              <w:rPr>
                <w:rFonts w:ascii="Arial" w:hAnsi="Arial" w:cs="Arial"/>
                <w:sz w:val="20"/>
                <w:szCs w:val="20"/>
              </w:rPr>
              <w:t xml:space="preserve"> </w:t>
            </w:r>
            <w:r w:rsidRPr="000A0BEF">
              <w:rPr>
                <w:rFonts w:ascii="Arial" w:hAnsi="Arial" w:cs="Arial"/>
                <w:sz w:val="20"/>
                <w:szCs w:val="20"/>
              </w:rPr>
              <w:t>any other Commonwealth property in the care, custody</w:t>
            </w:r>
            <w:r>
              <w:rPr>
                <w:rFonts w:ascii="Arial" w:hAnsi="Arial" w:cs="Arial"/>
                <w:sz w:val="20"/>
                <w:szCs w:val="20"/>
              </w:rPr>
              <w:t xml:space="preserve"> or control of the Contractor or its Subcontractors</w:t>
            </w:r>
            <w:r w:rsidR="00C1779A">
              <w:rPr>
                <w:rFonts w:ascii="Arial" w:hAnsi="Arial" w:cs="Arial"/>
                <w:sz w:val="20"/>
                <w:szCs w:val="20"/>
              </w:rPr>
              <w:t xml:space="preserve"> is based on </w:t>
            </w:r>
            <w:r w:rsidR="00C1779A" w:rsidRPr="002B0FED">
              <w:rPr>
                <w:rFonts w:ascii="Arial" w:hAnsi="Arial" w:cs="Arial"/>
                <w:b/>
                <w:sz w:val="20"/>
                <w:szCs w:val="20"/>
              </w:rPr>
              <w:t>[drafter to detail]</w:t>
            </w:r>
            <w:r>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14:paraId="160F5555" w14:textId="65C7E21A" w:rsidR="00662AFB" w:rsidRDefault="00662AFB" w:rsidP="00CA1C9D">
            <w:pPr>
              <w:spacing w:before="110" w:after="110"/>
              <w:jc w:val="left"/>
            </w:pPr>
            <w:r w:rsidRPr="000A0C23">
              <w:rPr>
                <w:rFonts w:cs="Arial"/>
                <w:szCs w:val="20"/>
              </w:rPr>
              <w:lastRenderedPageBreak/>
              <w:t>$Xm</w:t>
            </w:r>
            <w:r>
              <w:rPr>
                <w:rFonts w:cs="Arial"/>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14:paraId="07E6E4F6" w14:textId="7C2768D9" w:rsidR="00662AFB" w:rsidRDefault="00662AFB" w:rsidP="00E13B35">
            <w:pPr>
              <w:spacing w:before="110" w:after="110"/>
              <w:jc w:val="left"/>
              <w:rPr>
                <w:rFonts w:cs="Arial"/>
                <w:szCs w:val="20"/>
              </w:rPr>
            </w:pPr>
            <w:r w:rsidRPr="000A0C23">
              <w:rPr>
                <w:rFonts w:cs="Arial"/>
                <w:szCs w:val="20"/>
              </w:rPr>
              <w:t>$Xm</w:t>
            </w:r>
            <w:r>
              <w:rPr>
                <w:rFonts w:cs="Arial"/>
                <w:szCs w:val="20"/>
              </w:rPr>
              <w:t xml:space="preserve"> for public liability </w:t>
            </w:r>
          </w:p>
          <w:p w14:paraId="28D3DD94" w14:textId="3BB779FD" w:rsidR="009650AA" w:rsidRDefault="00662AFB" w:rsidP="009650AA">
            <w:pPr>
              <w:spacing w:before="110" w:after="110"/>
              <w:jc w:val="left"/>
              <w:rPr>
                <w:rFonts w:cs="Arial"/>
                <w:szCs w:val="20"/>
              </w:rPr>
            </w:pPr>
            <w:r>
              <w:rPr>
                <w:rFonts w:cs="Arial"/>
                <w:szCs w:val="20"/>
              </w:rPr>
              <w:t xml:space="preserve">$Xm for product liability </w:t>
            </w:r>
          </w:p>
          <w:p w14:paraId="616371EF" w14:textId="36EFCE8E" w:rsidR="009650AA" w:rsidRDefault="009650AA" w:rsidP="009650AA">
            <w:pPr>
              <w:spacing w:before="110" w:after="110"/>
              <w:jc w:val="left"/>
              <w:rPr>
                <w:rFonts w:cs="Arial"/>
                <w:szCs w:val="20"/>
              </w:rPr>
            </w:pPr>
            <w:r>
              <w:rPr>
                <w:rFonts w:cs="Arial"/>
                <w:szCs w:val="20"/>
              </w:rPr>
              <w:lastRenderedPageBreak/>
              <w:t>$Xm sublimit for Commonwealth Property</w:t>
            </w:r>
          </w:p>
          <w:p w14:paraId="65495A6B" w14:textId="1CDAB94D" w:rsidR="00662AFB" w:rsidRPr="00AD4023" w:rsidRDefault="00662AFB" w:rsidP="00662AFB">
            <w:pPr>
              <w:spacing w:before="110" w:after="110"/>
              <w:jc w:val="left"/>
              <w:rPr>
                <w:rFonts w:cs="Arial"/>
                <w:szCs w:val="20"/>
              </w:rPr>
            </w:pPr>
          </w:p>
        </w:tc>
      </w:tr>
      <w:tr w:rsidR="00D440AE" w:rsidRPr="00634E17" w14:paraId="4F575431" w14:textId="77777777" w:rsidTr="009A4FEC">
        <w:tc>
          <w:tcPr>
            <w:tcW w:w="0" w:type="auto"/>
            <w:tcBorders>
              <w:top w:val="single" w:sz="8" w:space="0" w:color="000000"/>
              <w:left w:val="single" w:sz="8" w:space="0" w:color="000000"/>
              <w:bottom w:val="single" w:sz="8" w:space="0" w:color="000000"/>
              <w:right w:val="single" w:sz="8" w:space="0" w:color="000000"/>
            </w:tcBorders>
          </w:tcPr>
          <w:p w14:paraId="676C9365" w14:textId="77777777" w:rsidR="00662AFB" w:rsidRDefault="00662AFB" w:rsidP="00E13B35">
            <w:pPr>
              <w:pStyle w:val="Default"/>
              <w:tabs>
                <w:tab w:val="left" w:pos="284"/>
              </w:tabs>
              <w:spacing w:before="110" w:after="110"/>
              <w:rPr>
                <w:rFonts w:ascii="Arial" w:hAnsi="Arial" w:cs="Arial"/>
                <w:sz w:val="20"/>
                <w:szCs w:val="20"/>
              </w:rPr>
            </w:pPr>
            <w:r>
              <w:rPr>
                <w:rFonts w:ascii="Arial" w:hAnsi="Arial" w:cs="Arial"/>
                <w:sz w:val="20"/>
                <w:szCs w:val="20"/>
              </w:rPr>
              <w:lastRenderedPageBreak/>
              <w:t>Professional indemnity</w:t>
            </w:r>
          </w:p>
          <w:p w14:paraId="16A2A919" w14:textId="4B5F6627" w:rsidR="00662AFB" w:rsidRPr="00634E17" w:rsidRDefault="00662AFB" w:rsidP="00D61E4C">
            <w:pPr>
              <w:pStyle w:val="NoteToDrafters-ASDEFCON"/>
            </w:pPr>
            <w:r>
              <w:t>Note to drafters:  Liability risks 1, 2, 3, 4, 5, 6, 7,  8 and 9 may be relevant</w:t>
            </w:r>
          </w:p>
        </w:tc>
        <w:tc>
          <w:tcPr>
            <w:tcW w:w="8431" w:type="dxa"/>
            <w:tcBorders>
              <w:top w:val="single" w:sz="8" w:space="0" w:color="000000"/>
              <w:left w:val="single" w:sz="8" w:space="0" w:color="000000"/>
              <w:bottom w:val="single" w:sz="8" w:space="0" w:color="000000"/>
              <w:right w:val="single" w:sz="8" w:space="0" w:color="000000"/>
            </w:tcBorders>
          </w:tcPr>
          <w:p w14:paraId="6E4D94D3" w14:textId="34D9E31E" w:rsidR="00662AFB" w:rsidRDefault="00662AFB" w:rsidP="00E13B35">
            <w:pPr>
              <w:pStyle w:val="Default"/>
              <w:spacing w:before="110" w:after="110"/>
              <w:rPr>
                <w:rFonts w:ascii="Arial" w:hAnsi="Arial" w:cs="Arial"/>
                <w:sz w:val="20"/>
                <w:szCs w:val="20"/>
              </w:rPr>
            </w:pPr>
            <w:r>
              <w:rPr>
                <w:rFonts w:ascii="Arial" w:hAnsi="Arial" w:cs="Arial"/>
                <w:sz w:val="20"/>
                <w:szCs w:val="20"/>
              </w:rPr>
              <w:t xml:space="preserve">To insure the contractor against economic loss as a result of the contractor’s </w:t>
            </w:r>
            <w:r w:rsidRPr="00057F29">
              <w:rPr>
                <w:rFonts w:ascii="Arial" w:hAnsi="Arial" w:cs="Arial"/>
                <w:sz w:val="20"/>
                <w:szCs w:val="20"/>
              </w:rPr>
              <w:t>negligent performance of prof</w:t>
            </w:r>
            <w:r>
              <w:rPr>
                <w:rFonts w:ascii="Arial" w:hAnsi="Arial" w:cs="Arial"/>
                <w:sz w:val="20"/>
                <w:szCs w:val="20"/>
              </w:rPr>
              <w:t xml:space="preserve">essional services (including project management, design, engineering, training). Economic loss includes loss, damage or loss of use of tangible property (other than contractor property) or </w:t>
            </w:r>
            <w:r w:rsidRPr="00BF3810">
              <w:rPr>
                <w:rFonts w:ascii="Arial" w:hAnsi="Arial" w:cs="Arial"/>
                <w:sz w:val="20"/>
                <w:szCs w:val="20"/>
              </w:rPr>
              <w:t>bodily injury, disease, illness or death of</w:t>
            </w:r>
            <w:r>
              <w:rPr>
                <w:rFonts w:ascii="Arial" w:hAnsi="Arial" w:cs="Arial"/>
                <w:sz w:val="20"/>
                <w:szCs w:val="20"/>
              </w:rPr>
              <w:t xml:space="preserve"> any person (other than contractor employees and officers) and pure economic loss (including unintentional breaches of intellectual property and trade practices laws, and software and IT risks). </w:t>
            </w:r>
          </w:p>
          <w:p w14:paraId="3153645B" w14:textId="77777777" w:rsidR="00662AFB" w:rsidRDefault="00662AFB" w:rsidP="00E13B35">
            <w:pPr>
              <w:pStyle w:val="Default"/>
              <w:spacing w:before="110" w:after="110"/>
              <w:rPr>
                <w:rFonts w:ascii="Arial" w:hAnsi="Arial" w:cs="Arial"/>
                <w:sz w:val="20"/>
                <w:szCs w:val="20"/>
              </w:rPr>
            </w:pPr>
            <w:r>
              <w:rPr>
                <w:rFonts w:ascii="Arial" w:hAnsi="Arial" w:cs="Arial"/>
                <w:sz w:val="20"/>
                <w:szCs w:val="20"/>
              </w:rPr>
              <w:t xml:space="preserve">The Maximum Probable Loss would be </w:t>
            </w:r>
            <w:r w:rsidRPr="002B0FED">
              <w:rPr>
                <w:rFonts w:ascii="Arial" w:hAnsi="Arial" w:cs="Arial"/>
                <w:b/>
                <w:sz w:val="20"/>
                <w:szCs w:val="20"/>
              </w:rPr>
              <w:t>[drafter to detail loss scenario]</w:t>
            </w:r>
            <w:r>
              <w:rPr>
                <w:rFonts w:ascii="Arial" w:hAnsi="Arial" w:cs="Arial"/>
                <w:sz w:val="20"/>
                <w:szCs w:val="20"/>
              </w:rPr>
              <w:t>.</w:t>
            </w:r>
          </w:p>
          <w:p w14:paraId="192AB9EF" w14:textId="02C27424" w:rsidR="00662AFB" w:rsidRPr="00634E17" w:rsidRDefault="00662AFB" w:rsidP="00C31B7C">
            <w:pPr>
              <w:pStyle w:val="Default"/>
              <w:spacing w:before="110" w:after="110"/>
              <w:rPr>
                <w:rFonts w:ascii="Arial" w:hAnsi="Arial" w:cs="Arial"/>
                <w:sz w:val="20"/>
                <w:szCs w:val="20"/>
              </w:rPr>
            </w:pPr>
            <w:r>
              <w:rPr>
                <w:rFonts w:ascii="Arial" w:hAnsi="Arial" w:cs="Arial"/>
                <w:sz w:val="20"/>
                <w:szCs w:val="20"/>
              </w:rPr>
              <w:t xml:space="preserve">The project proposes an insurance amount that is </w:t>
            </w:r>
            <w:r w:rsidRPr="002B0FED">
              <w:rPr>
                <w:rFonts w:ascii="Arial" w:hAnsi="Arial" w:cs="Arial"/>
                <w:b/>
                <w:sz w:val="20"/>
                <w:szCs w:val="20"/>
              </w:rPr>
              <w:t>[equal to/higher than/lower than]</w:t>
            </w:r>
            <w:r>
              <w:rPr>
                <w:rFonts w:ascii="Arial" w:hAnsi="Arial" w:cs="Arial"/>
                <w:sz w:val="20"/>
                <w:szCs w:val="20"/>
              </w:rPr>
              <w:t xml:space="preserve"> the Maximum Probable Loss as </w:t>
            </w:r>
            <w:r w:rsidRPr="002B0FED">
              <w:rPr>
                <w:rFonts w:ascii="Arial" w:hAnsi="Arial" w:cs="Arial"/>
                <w:b/>
                <w:sz w:val="20"/>
                <w:szCs w:val="20"/>
              </w:rPr>
              <w:t>[drafter to justify proposed insurance amount]</w:t>
            </w:r>
            <w:r>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14:paraId="172BBCD3" w14:textId="60C6EFD2" w:rsidR="00662AFB" w:rsidRDefault="00662AFB" w:rsidP="00CA1C9D">
            <w:pPr>
              <w:spacing w:before="110" w:after="110"/>
              <w:jc w:val="left"/>
            </w:pPr>
            <w:r w:rsidRPr="002D58AE">
              <w:rPr>
                <w:rFonts w:cs="Arial"/>
                <w:szCs w:val="20"/>
              </w:rPr>
              <w:t>$Xm</w:t>
            </w:r>
          </w:p>
        </w:tc>
        <w:tc>
          <w:tcPr>
            <w:tcW w:w="0" w:type="auto"/>
            <w:tcBorders>
              <w:top w:val="single" w:sz="8" w:space="0" w:color="000000"/>
              <w:left w:val="single" w:sz="8" w:space="0" w:color="000000"/>
              <w:bottom w:val="single" w:sz="8" w:space="0" w:color="000000"/>
              <w:right w:val="single" w:sz="8" w:space="0" w:color="000000"/>
            </w:tcBorders>
          </w:tcPr>
          <w:p w14:paraId="03F7AA92" w14:textId="08CFB83A" w:rsidR="00662AFB" w:rsidRDefault="00662AFB" w:rsidP="00D440AE">
            <w:pPr>
              <w:spacing w:before="110" w:after="110"/>
              <w:jc w:val="left"/>
            </w:pPr>
            <w:r w:rsidRPr="002D58AE">
              <w:rPr>
                <w:rFonts w:cs="Arial"/>
                <w:szCs w:val="20"/>
              </w:rPr>
              <w:t>$Xm</w:t>
            </w:r>
          </w:p>
        </w:tc>
      </w:tr>
      <w:tr w:rsidR="00D440AE" w:rsidRPr="00634E17" w14:paraId="219BD0B6" w14:textId="77777777" w:rsidTr="009A4FEC">
        <w:tc>
          <w:tcPr>
            <w:tcW w:w="0" w:type="auto"/>
            <w:tcBorders>
              <w:top w:val="single" w:sz="8" w:space="0" w:color="000000"/>
              <w:left w:val="single" w:sz="8" w:space="0" w:color="000000"/>
              <w:bottom w:val="single" w:sz="8" w:space="0" w:color="000000"/>
              <w:right w:val="single" w:sz="8" w:space="0" w:color="000000"/>
            </w:tcBorders>
          </w:tcPr>
          <w:p w14:paraId="6445BBA2" w14:textId="7A1720FC" w:rsidR="00662AFB" w:rsidRPr="00634E17" w:rsidRDefault="00662AFB" w:rsidP="00CA1C9D">
            <w:pPr>
              <w:pStyle w:val="Default"/>
              <w:tabs>
                <w:tab w:val="left" w:pos="284"/>
              </w:tabs>
              <w:spacing w:before="110" w:after="110"/>
              <w:rPr>
                <w:rFonts w:ascii="Arial" w:hAnsi="Arial" w:cs="Arial"/>
                <w:sz w:val="20"/>
                <w:szCs w:val="20"/>
              </w:rPr>
            </w:pPr>
            <w:r>
              <w:rPr>
                <w:rFonts w:ascii="Arial" w:hAnsi="Arial" w:cs="Arial"/>
                <w:sz w:val="20"/>
                <w:szCs w:val="20"/>
              </w:rPr>
              <w:t>Property OR industrial special risks</w:t>
            </w:r>
          </w:p>
        </w:tc>
        <w:tc>
          <w:tcPr>
            <w:tcW w:w="8431" w:type="dxa"/>
            <w:tcBorders>
              <w:top w:val="single" w:sz="8" w:space="0" w:color="000000"/>
              <w:left w:val="single" w:sz="8" w:space="0" w:color="000000"/>
              <w:bottom w:val="single" w:sz="8" w:space="0" w:color="000000"/>
              <w:right w:val="single" w:sz="8" w:space="0" w:color="000000"/>
            </w:tcBorders>
          </w:tcPr>
          <w:p w14:paraId="52B997D8" w14:textId="2FA57664" w:rsidR="00662AFB" w:rsidRDefault="00662AFB" w:rsidP="00E13B35">
            <w:pPr>
              <w:pStyle w:val="Default"/>
              <w:spacing w:before="110" w:after="110"/>
              <w:rPr>
                <w:rFonts w:ascii="Arial" w:hAnsi="Arial" w:cs="Arial"/>
                <w:sz w:val="20"/>
                <w:szCs w:val="20"/>
              </w:rPr>
            </w:pPr>
            <w:r>
              <w:rPr>
                <w:rFonts w:ascii="Arial" w:hAnsi="Arial" w:cs="Arial"/>
                <w:sz w:val="20"/>
                <w:szCs w:val="20"/>
              </w:rPr>
              <w:t>To insure the contractor against</w:t>
            </w:r>
            <w:r w:rsidRPr="00A20F8C">
              <w:rPr>
                <w:rFonts w:ascii="Arial" w:hAnsi="Arial" w:cs="Arial"/>
                <w:sz w:val="20"/>
                <w:szCs w:val="20"/>
              </w:rPr>
              <w:t xml:space="preserve"> </w:t>
            </w:r>
            <w:r>
              <w:rPr>
                <w:rFonts w:ascii="Arial" w:hAnsi="Arial" w:cs="Arial"/>
                <w:sz w:val="20"/>
                <w:szCs w:val="20"/>
              </w:rPr>
              <w:t xml:space="preserve">loss </w:t>
            </w:r>
            <w:r w:rsidR="00354FEE">
              <w:rPr>
                <w:rFonts w:ascii="Arial" w:hAnsi="Arial" w:cs="Arial"/>
                <w:sz w:val="20"/>
                <w:szCs w:val="20"/>
              </w:rPr>
              <w:t xml:space="preserve">of or </w:t>
            </w:r>
            <w:r>
              <w:rPr>
                <w:rFonts w:ascii="Arial" w:hAnsi="Arial" w:cs="Arial"/>
                <w:sz w:val="20"/>
                <w:szCs w:val="20"/>
              </w:rPr>
              <w:t>damage to tangible property owned by the contractor (including property for which the contractor is responsible to insure).</w:t>
            </w:r>
          </w:p>
          <w:p w14:paraId="370755E5" w14:textId="440F348B" w:rsidR="00662AFB" w:rsidRPr="00E27B8F" w:rsidRDefault="00662AFB" w:rsidP="000A6328">
            <w:pPr>
              <w:pStyle w:val="Default"/>
              <w:spacing w:before="110" w:after="110"/>
              <w:rPr>
                <w:rFonts w:ascii="Arial" w:hAnsi="Arial" w:cs="Arial"/>
                <w:sz w:val="20"/>
                <w:szCs w:val="20"/>
              </w:rPr>
            </w:pPr>
            <w:r w:rsidRPr="00E27B8F">
              <w:rPr>
                <w:rFonts w:ascii="Arial" w:hAnsi="Arial" w:cs="Arial"/>
                <w:sz w:val="20"/>
                <w:szCs w:val="20"/>
              </w:rPr>
              <w:t>The industrial special risks business interruption insurance period that will be required by the contract is</w:t>
            </w:r>
            <w:r>
              <w:rPr>
                <w:rFonts w:ascii="Arial" w:hAnsi="Arial" w:cs="Arial"/>
                <w:sz w:val="20"/>
                <w:szCs w:val="20"/>
              </w:rPr>
              <w:t xml:space="preserve"> </w:t>
            </w:r>
            <w:r w:rsidRPr="002B0FED">
              <w:rPr>
                <w:rFonts w:ascii="Arial" w:hAnsi="Arial" w:cs="Arial"/>
                <w:b/>
                <w:sz w:val="20"/>
                <w:szCs w:val="20"/>
              </w:rPr>
              <w:t>[XX]</w:t>
            </w:r>
            <w:r>
              <w:rPr>
                <w:rFonts w:ascii="Arial" w:hAnsi="Arial" w:cs="Arial"/>
                <w:sz w:val="20"/>
                <w:szCs w:val="20"/>
              </w:rPr>
              <w:t xml:space="preserve"> w</w:t>
            </w:r>
            <w:r w:rsidRPr="00E27B8F">
              <w:rPr>
                <w:rFonts w:ascii="Arial" w:hAnsi="Arial" w:cs="Arial"/>
                <w:sz w:val="20"/>
                <w:szCs w:val="20"/>
              </w:rPr>
              <w:t>eeks</w:t>
            </w:r>
            <w:r>
              <w:rPr>
                <w:rFonts w:ascii="Arial" w:hAnsi="Arial" w:cs="Arial"/>
                <w:sz w:val="20"/>
                <w:szCs w:val="20"/>
              </w:rPr>
              <w:t xml:space="preserve"> </w:t>
            </w:r>
            <w:r w:rsidR="00354FEE">
              <w:rPr>
                <w:rFonts w:ascii="Arial" w:hAnsi="Arial" w:cs="Arial"/>
                <w:sz w:val="20"/>
                <w:szCs w:val="20"/>
              </w:rPr>
              <w:t xml:space="preserve">based on </w:t>
            </w:r>
            <w:r w:rsidRPr="002B0FED">
              <w:rPr>
                <w:rFonts w:ascii="Arial" w:hAnsi="Arial" w:cs="Arial"/>
                <w:b/>
                <w:sz w:val="20"/>
                <w:szCs w:val="20"/>
              </w:rPr>
              <w:t xml:space="preserve">[drafter to justify proposed </w:t>
            </w:r>
            <w:r>
              <w:rPr>
                <w:rFonts w:ascii="Arial" w:hAnsi="Arial" w:cs="Arial"/>
                <w:b/>
                <w:sz w:val="20"/>
                <w:szCs w:val="20"/>
              </w:rPr>
              <w:t>weeks required to resume normal business</w:t>
            </w:r>
            <w:r w:rsidRPr="002B0FED">
              <w:rPr>
                <w:rFonts w:ascii="Arial" w:hAnsi="Arial" w:cs="Arial"/>
                <w:b/>
                <w:sz w:val="20"/>
                <w:szCs w:val="20"/>
              </w:rPr>
              <w:t>]</w:t>
            </w:r>
            <w:r w:rsidRPr="00E27B8F">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shd w:val="pct15" w:color="auto" w:fill="auto"/>
          </w:tcPr>
          <w:p w14:paraId="19D08EBB" w14:textId="77777777" w:rsidR="00662AFB" w:rsidRDefault="00662AFB" w:rsidP="00E13B35">
            <w:pPr>
              <w:spacing w:before="110" w:after="110"/>
              <w:jc w:val="left"/>
              <w:rPr>
                <w:rFonts w:cs="Arial"/>
                <w:szCs w:val="20"/>
              </w:rPr>
            </w:pPr>
            <w:r>
              <w:rPr>
                <w:rFonts w:cs="Arial"/>
                <w:szCs w:val="20"/>
              </w:rPr>
              <w:t>No insurance limit required to be specified</w:t>
            </w:r>
          </w:p>
          <w:p w14:paraId="0215E31D" w14:textId="71005D0B" w:rsidR="00662AFB" w:rsidRDefault="00662AFB" w:rsidP="00CA1C9D">
            <w:pPr>
              <w:spacing w:before="110" w:after="110"/>
              <w:jc w:val="left"/>
            </w:pPr>
            <w:r w:rsidRPr="00CC2082" w:rsidDel="00462C5E">
              <w:rPr>
                <w:rFonts w:cs="Arial"/>
                <w:szCs w:val="20"/>
              </w:rPr>
              <w:t xml:space="preserve"> </w:t>
            </w:r>
          </w:p>
        </w:tc>
        <w:tc>
          <w:tcPr>
            <w:tcW w:w="0" w:type="auto"/>
            <w:tcBorders>
              <w:top w:val="single" w:sz="8" w:space="0" w:color="000000"/>
              <w:left w:val="single" w:sz="8" w:space="0" w:color="000000"/>
              <w:bottom w:val="single" w:sz="8" w:space="0" w:color="000000"/>
              <w:right w:val="single" w:sz="8" w:space="0" w:color="000000"/>
            </w:tcBorders>
            <w:shd w:val="pct15" w:color="auto" w:fill="auto"/>
          </w:tcPr>
          <w:p w14:paraId="7C19B36A" w14:textId="77777777" w:rsidR="00662AFB" w:rsidRDefault="00662AFB" w:rsidP="00E13B35">
            <w:pPr>
              <w:spacing w:before="110" w:after="110"/>
              <w:jc w:val="left"/>
              <w:rPr>
                <w:rFonts w:cs="Arial"/>
                <w:szCs w:val="20"/>
              </w:rPr>
            </w:pPr>
            <w:r>
              <w:rPr>
                <w:rFonts w:cs="Arial"/>
                <w:szCs w:val="20"/>
              </w:rPr>
              <w:t>No insurance limit required to be specified</w:t>
            </w:r>
          </w:p>
          <w:p w14:paraId="1EE7119F" w14:textId="0104D58F" w:rsidR="00662AFB" w:rsidRDefault="00662AFB" w:rsidP="00CA1C9D">
            <w:pPr>
              <w:spacing w:before="110" w:after="110"/>
              <w:jc w:val="left"/>
            </w:pPr>
            <w:r w:rsidRPr="00CC2082" w:rsidDel="00462C5E">
              <w:rPr>
                <w:rFonts w:cs="Arial"/>
                <w:szCs w:val="20"/>
              </w:rPr>
              <w:t xml:space="preserve"> </w:t>
            </w:r>
          </w:p>
        </w:tc>
      </w:tr>
      <w:tr w:rsidR="00D440AE" w:rsidRPr="00634E17" w14:paraId="376657D1" w14:textId="77777777" w:rsidTr="009A4FEC">
        <w:trPr>
          <w:cantSplit/>
        </w:trPr>
        <w:tc>
          <w:tcPr>
            <w:tcW w:w="0" w:type="auto"/>
            <w:tcBorders>
              <w:top w:val="single" w:sz="8" w:space="0" w:color="000000"/>
              <w:left w:val="single" w:sz="8" w:space="0" w:color="000000"/>
              <w:bottom w:val="single" w:sz="8" w:space="0" w:color="000000"/>
              <w:right w:val="single" w:sz="8" w:space="0" w:color="000000"/>
            </w:tcBorders>
          </w:tcPr>
          <w:p w14:paraId="71A2A8AF" w14:textId="5008262F" w:rsidR="00662AFB" w:rsidRPr="00634E17" w:rsidRDefault="00662AFB" w:rsidP="00CA1C9D">
            <w:pPr>
              <w:pStyle w:val="Default"/>
              <w:tabs>
                <w:tab w:val="left" w:pos="284"/>
              </w:tabs>
              <w:spacing w:before="110" w:after="110"/>
              <w:rPr>
                <w:rFonts w:ascii="Arial" w:hAnsi="Arial" w:cs="Arial"/>
                <w:sz w:val="20"/>
                <w:szCs w:val="20"/>
              </w:rPr>
            </w:pPr>
            <w:r>
              <w:rPr>
                <w:rFonts w:ascii="Arial" w:hAnsi="Arial" w:cs="Arial"/>
                <w:sz w:val="20"/>
                <w:szCs w:val="20"/>
              </w:rPr>
              <w:lastRenderedPageBreak/>
              <w:t>Transit</w:t>
            </w:r>
          </w:p>
        </w:tc>
        <w:tc>
          <w:tcPr>
            <w:tcW w:w="8431" w:type="dxa"/>
            <w:tcBorders>
              <w:top w:val="single" w:sz="8" w:space="0" w:color="000000"/>
              <w:left w:val="single" w:sz="8" w:space="0" w:color="000000"/>
              <w:bottom w:val="single" w:sz="8" w:space="0" w:color="000000"/>
              <w:right w:val="single" w:sz="8" w:space="0" w:color="000000"/>
            </w:tcBorders>
          </w:tcPr>
          <w:p w14:paraId="082E4839" w14:textId="2ED97FDE" w:rsidR="00662AFB" w:rsidRPr="00E27B8F" w:rsidRDefault="00662AFB" w:rsidP="000A6328">
            <w:pPr>
              <w:pStyle w:val="Default"/>
              <w:spacing w:before="110" w:after="110"/>
              <w:rPr>
                <w:rFonts w:ascii="Arial" w:hAnsi="Arial" w:cs="Arial"/>
                <w:sz w:val="20"/>
                <w:szCs w:val="20"/>
              </w:rPr>
            </w:pPr>
            <w:r>
              <w:rPr>
                <w:rFonts w:ascii="Arial" w:hAnsi="Arial" w:cs="Arial"/>
                <w:sz w:val="20"/>
                <w:szCs w:val="20"/>
              </w:rPr>
              <w:t>To insure the contractor against loss or damage to tangible property owned by the contractor (including property for which the contractor is responsible to insure) in transit or storage during transit</w:t>
            </w:r>
            <w:r w:rsidRPr="00E27B8F">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shd w:val="pct15" w:color="auto" w:fill="auto"/>
          </w:tcPr>
          <w:p w14:paraId="729575EA" w14:textId="53571D8A" w:rsidR="00662AFB" w:rsidRPr="00634E17" w:rsidRDefault="00662AFB" w:rsidP="00CA1C9D">
            <w:pPr>
              <w:pStyle w:val="Default"/>
              <w:spacing w:before="110" w:after="110"/>
              <w:rPr>
                <w:rFonts w:ascii="Arial" w:hAnsi="Arial" w:cs="Arial"/>
                <w:sz w:val="20"/>
                <w:szCs w:val="20"/>
              </w:rPr>
            </w:pPr>
            <w:r>
              <w:rPr>
                <w:rFonts w:ascii="Arial" w:hAnsi="Arial" w:cs="Arial"/>
                <w:sz w:val="20"/>
                <w:szCs w:val="20"/>
              </w:rPr>
              <w:t>No insurance limit required to be specified</w:t>
            </w:r>
          </w:p>
        </w:tc>
        <w:tc>
          <w:tcPr>
            <w:tcW w:w="0" w:type="auto"/>
            <w:tcBorders>
              <w:top w:val="single" w:sz="8" w:space="0" w:color="000000"/>
              <w:left w:val="single" w:sz="8" w:space="0" w:color="000000"/>
              <w:bottom w:val="single" w:sz="8" w:space="0" w:color="000000"/>
              <w:right w:val="single" w:sz="8" w:space="0" w:color="000000"/>
            </w:tcBorders>
            <w:shd w:val="pct15" w:color="auto" w:fill="auto"/>
          </w:tcPr>
          <w:p w14:paraId="6AD98F96" w14:textId="549D6217" w:rsidR="00662AFB" w:rsidRPr="00634E17" w:rsidRDefault="00662AFB" w:rsidP="00CA1C9D">
            <w:pPr>
              <w:pStyle w:val="Default"/>
              <w:spacing w:before="110" w:after="110"/>
              <w:rPr>
                <w:rFonts w:ascii="Arial" w:hAnsi="Arial" w:cs="Arial"/>
                <w:sz w:val="20"/>
                <w:szCs w:val="20"/>
              </w:rPr>
            </w:pPr>
            <w:r>
              <w:rPr>
                <w:rFonts w:ascii="Arial" w:hAnsi="Arial" w:cs="Arial"/>
                <w:sz w:val="20"/>
                <w:szCs w:val="20"/>
              </w:rPr>
              <w:t>No insurance limit required to be specified</w:t>
            </w:r>
          </w:p>
        </w:tc>
      </w:tr>
      <w:tr w:rsidR="00D440AE" w:rsidRPr="00634E17" w14:paraId="49F29CA2" w14:textId="77777777" w:rsidTr="009A4FEC">
        <w:trPr>
          <w:cantSplit/>
        </w:trPr>
        <w:tc>
          <w:tcPr>
            <w:tcW w:w="0" w:type="auto"/>
            <w:tcBorders>
              <w:top w:val="single" w:sz="8" w:space="0" w:color="000000"/>
              <w:left w:val="single" w:sz="8" w:space="0" w:color="000000"/>
              <w:bottom w:val="single" w:sz="8" w:space="0" w:color="000000"/>
              <w:right w:val="single" w:sz="8" w:space="0" w:color="000000"/>
            </w:tcBorders>
          </w:tcPr>
          <w:p w14:paraId="1E0AF19C" w14:textId="77777777" w:rsidR="00662AFB" w:rsidRDefault="00662AFB" w:rsidP="00E13B35">
            <w:pPr>
              <w:pStyle w:val="Default"/>
              <w:tabs>
                <w:tab w:val="left" w:pos="284"/>
              </w:tabs>
              <w:spacing w:before="110" w:after="110"/>
              <w:rPr>
                <w:rFonts w:ascii="Arial" w:hAnsi="Arial" w:cs="Arial"/>
                <w:sz w:val="20"/>
                <w:szCs w:val="20"/>
              </w:rPr>
            </w:pPr>
            <w:r>
              <w:rPr>
                <w:rFonts w:ascii="Arial" w:hAnsi="Arial" w:cs="Arial"/>
                <w:sz w:val="20"/>
                <w:szCs w:val="20"/>
              </w:rPr>
              <w:t>Motor vehicle</w:t>
            </w:r>
          </w:p>
          <w:p w14:paraId="6C43BD2C" w14:textId="24E3AABE" w:rsidR="00662AFB" w:rsidRDefault="00662AFB" w:rsidP="00D61E4C">
            <w:pPr>
              <w:pStyle w:val="NoteToDrafters-ASDEFCON"/>
            </w:pPr>
            <w:r>
              <w:t>Note to drafters:  Liability risks 4, 5, 6 and 7 may be relevant</w:t>
            </w:r>
          </w:p>
        </w:tc>
        <w:tc>
          <w:tcPr>
            <w:tcW w:w="8431" w:type="dxa"/>
            <w:tcBorders>
              <w:top w:val="single" w:sz="8" w:space="0" w:color="000000"/>
              <w:left w:val="single" w:sz="8" w:space="0" w:color="000000"/>
              <w:bottom w:val="single" w:sz="8" w:space="0" w:color="000000"/>
              <w:right w:val="single" w:sz="8" w:space="0" w:color="000000"/>
            </w:tcBorders>
          </w:tcPr>
          <w:p w14:paraId="771613B6" w14:textId="025ED01F" w:rsidR="00662AFB" w:rsidRDefault="00662AFB" w:rsidP="00E13B35">
            <w:pPr>
              <w:pStyle w:val="Default"/>
              <w:spacing w:before="110" w:after="110"/>
              <w:rPr>
                <w:rFonts w:ascii="Arial" w:hAnsi="Arial" w:cs="Arial"/>
                <w:sz w:val="20"/>
                <w:szCs w:val="20"/>
              </w:rPr>
            </w:pPr>
            <w:r>
              <w:rPr>
                <w:rFonts w:ascii="Arial" w:hAnsi="Arial" w:cs="Arial"/>
                <w:sz w:val="20"/>
                <w:szCs w:val="20"/>
              </w:rPr>
              <w:t xml:space="preserve">To insure the contractor against loss or damage to tangible property (other than contractor property) or </w:t>
            </w:r>
            <w:r w:rsidRPr="00BF3810">
              <w:rPr>
                <w:rFonts w:ascii="Arial" w:hAnsi="Arial" w:cs="Arial"/>
                <w:sz w:val="20"/>
                <w:szCs w:val="20"/>
              </w:rPr>
              <w:t>bodily injury, disease, illness or death of</w:t>
            </w:r>
            <w:r>
              <w:rPr>
                <w:rFonts w:ascii="Arial" w:hAnsi="Arial" w:cs="Arial"/>
                <w:sz w:val="20"/>
                <w:szCs w:val="20"/>
              </w:rPr>
              <w:t xml:space="preserve"> any person (other than contractor employees and officers) as a result of the contractor’s </w:t>
            </w:r>
            <w:r w:rsidRPr="00057F29">
              <w:rPr>
                <w:rFonts w:ascii="Arial" w:hAnsi="Arial" w:cs="Arial"/>
                <w:sz w:val="20"/>
                <w:szCs w:val="20"/>
              </w:rPr>
              <w:t>use or ownership of registered and unregistered motor vehicles</w:t>
            </w:r>
            <w:r>
              <w:rPr>
                <w:rFonts w:ascii="Arial" w:hAnsi="Arial" w:cs="Arial"/>
                <w:sz w:val="20"/>
                <w:szCs w:val="20"/>
              </w:rPr>
              <w:t>.</w:t>
            </w:r>
          </w:p>
          <w:p w14:paraId="24FF2B4C" w14:textId="77777777" w:rsidR="00662AFB" w:rsidRDefault="00662AFB" w:rsidP="00E13B35">
            <w:pPr>
              <w:pStyle w:val="Default"/>
              <w:spacing w:before="110" w:after="110"/>
              <w:rPr>
                <w:rFonts w:ascii="Arial" w:hAnsi="Arial" w:cs="Arial"/>
                <w:sz w:val="20"/>
                <w:szCs w:val="20"/>
              </w:rPr>
            </w:pPr>
            <w:r>
              <w:rPr>
                <w:rFonts w:ascii="Arial" w:hAnsi="Arial" w:cs="Arial"/>
                <w:sz w:val="20"/>
                <w:szCs w:val="20"/>
              </w:rPr>
              <w:t xml:space="preserve">The Maximum Probable Loss would be </w:t>
            </w:r>
            <w:r w:rsidRPr="002B0FED">
              <w:rPr>
                <w:rFonts w:ascii="Arial" w:hAnsi="Arial" w:cs="Arial"/>
                <w:b/>
                <w:sz w:val="20"/>
                <w:szCs w:val="20"/>
              </w:rPr>
              <w:t>[drafter to detail loss scenario]</w:t>
            </w:r>
            <w:r>
              <w:rPr>
                <w:rFonts w:ascii="Arial" w:hAnsi="Arial" w:cs="Arial"/>
                <w:sz w:val="20"/>
                <w:szCs w:val="20"/>
              </w:rPr>
              <w:t>.</w:t>
            </w:r>
          </w:p>
          <w:p w14:paraId="4432E34A" w14:textId="7C93E06C" w:rsidR="00662AFB" w:rsidRPr="00E27B8F" w:rsidRDefault="00662AFB" w:rsidP="00D440AE">
            <w:pPr>
              <w:pStyle w:val="Default"/>
              <w:spacing w:before="110" w:after="110"/>
              <w:rPr>
                <w:rFonts w:ascii="Arial" w:hAnsi="Arial" w:cs="Arial"/>
                <w:sz w:val="20"/>
                <w:szCs w:val="20"/>
              </w:rPr>
            </w:pPr>
            <w:r>
              <w:rPr>
                <w:rFonts w:ascii="Arial" w:hAnsi="Arial" w:cs="Arial"/>
                <w:sz w:val="20"/>
                <w:szCs w:val="20"/>
              </w:rPr>
              <w:t xml:space="preserve">The project proposes an insurance amount that is </w:t>
            </w:r>
            <w:r w:rsidRPr="002B0FED">
              <w:rPr>
                <w:rFonts w:ascii="Arial" w:hAnsi="Arial" w:cs="Arial"/>
                <w:b/>
                <w:sz w:val="20"/>
                <w:szCs w:val="20"/>
              </w:rPr>
              <w:t>[equal to/higher than/lower than]</w:t>
            </w:r>
            <w:r>
              <w:rPr>
                <w:rFonts w:ascii="Arial" w:hAnsi="Arial" w:cs="Arial"/>
                <w:sz w:val="20"/>
                <w:szCs w:val="20"/>
              </w:rPr>
              <w:t xml:space="preserve"> the Maximum Probable Loss as </w:t>
            </w:r>
            <w:r w:rsidRPr="002B0FED">
              <w:rPr>
                <w:rFonts w:ascii="Arial" w:hAnsi="Arial" w:cs="Arial"/>
                <w:b/>
                <w:sz w:val="20"/>
                <w:szCs w:val="20"/>
              </w:rPr>
              <w:t>[drafter to justify proposed insurance amount]</w:t>
            </w:r>
            <w:r>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14:paraId="6F467522" w14:textId="441AB8BA" w:rsidR="00662AFB" w:rsidRDefault="00662AFB" w:rsidP="00CA1C9D">
            <w:pPr>
              <w:spacing w:before="110" w:after="110"/>
              <w:jc w:val="left"/>
            </w:pPr>
            <w:r w:rsidRPr="00032A71">
              <w:rPr>
                <w:rFonts w:cs="Arial"/>
                <w:szCs w:val="20"/>
              </w:rPr>
              <w:t>$Xm</w:t>
            </w:r>
          </w:p>
        </w:tc>
        <w:tc>
          <w:tcPr>
            <w:tcW w:w="0" w:type="auto"/>
            <w:tcBorders>
              <w:top w:val="single" w:sz="8" w:space="0" w:color="000000"/>
              <w:left w:val="single" w:sz="8" w:space="0" w:color="000000"/>
              <w:bottom w:val="single" w:sz="8" w:space="0" w:color="000000"/>
              <w:right w:val="single" w:sz="8" w:space="0" w:color="000000"/>
            </w:tcBorders>
          </w:tcPr>
          <w:p w14:paraId="7D087EBA" w14:textId="690B2A68" w:rsidR="00662AFB" w:rsidRDefault="00662AFB" w:rsidP="00D440AE">
            <w:pPr>
              <w:spacing w:before="110" w:after="110"/>
              <w:jc w:val="left"/>
            </w:pPr>
            <w:r w:rsidRPr="00032A71">
              <w:rPr>
                <w:rFonts w:cs="Arial"/>
                <w:szCs w:val="20"/>
              </w:rPr>
              <w:t>$Xm</w:t>
            </w:r>
          </w:p>
        </w:tc>
      </w:tr>
      <w:tr w:rsidR="00D440AE" w:rsidRPr="00634E17" w14:paraId="7D35CA17" w14:textId="77777777" w:rsidTr="009A4FEC">
        <w:trPr>
          <w:cantSplit/>
        </w:trPr>
        <w:tc>
          <w:tcPr>
            <w:tcW w:w="0" w:type="auto"/>
            <w:tcBorders>
              <w:top w:val="single" w:sz="8" w:space="0" w:color="000000"/>
              <w:left w:val="single" w:sz="8" w:space="0" w:color="000000"/>
              <w:bottom w:val="single" w:sz="8" w:space="0" w:color="000000"/>
              <w:right w:val="single" w:sz="8" w:space="0" w:color="000000"/>
            </w:tcBorders>
          </w:tcPr>
          <w:p w14:paraId="7B6FBE73" w14:textId="0233F636" w:rsidR="00662AFB" w:rsidRDefault="00662AFB" w:rsidP="00CA1C9D">
            <w:pPr>
              <w:pStyle w:val="Default"/>
              <w:tabs>
                <w:tab w:val="left" w:pos="284"/>
              </w:tabs>
              <w:spacing w:before="110" w:after="110"/>
              <w:rPr>
                <w:rFonts w:ascii="Arial" w:hAnsi="Arial" w:cs="Arial"/>
                <w:sz w:val="20"/>
                <w:szCs w:val="20"/>
              </w:rPr>
            </w:pPr>
            <w:r>
              <w:rPr>
                <w:rFonts w:ascii="Arial" w:hAnsi="Arial" w:cs="Arial"/>
                <w:sz w:val="20"/>
                <w:szCs w:val="20"/>
              </w:rPr>
              <w:t>Aircraft hull</w:t>
            </w:r>
          </w:p>
        </w:tc>
        <w:tc>
          <w:tcPr>
            <w:tcW w:w="8431" w:type="dxa"/>
            <w:tcBorders>
              <w:top w:val="single" w:sz="8" w:space="0" w:color="000000"/>
              <w:left w:val="single" w:sz="8" w:space="0" w:color="000000"/>
              <w:bottom w:val="single" w:sz="8" w:space="0" w:color="000000"/>
              <w:right w:val="single" w:sz="8" w:space="0" w:color="000000"/>
            </w:tcBorders>
          </w:tcPr>
          <w:p w14:paraId="08EA4C8C" w14:textId="2B7794E2" w:rsidR="00662AFB" w:rsidRPr="00E27B8F" w:rsidRDefault="00662AFB" w:rsidP="00CA1C9D">
            <w:pPr>
              <w:pStyle w:val="Default"/>
              <w:spacing w:before="110" w:after="110"/>
              <w:rPr>
                <w:rFonts w:ascii="Arial" w:hAnsi="Arial" w:cs="Arial"/>
                <w:sz w:val="20"/>
                <w:szCs w:val="20"/>
              </w:rPr>
            </w:pPr>
            <w:r>
              <w:rPr>
                <w:rFonts w:ascii="Arial" w:hAnsi="Arial" w:cs="Arial"/>
                <w:sz w:val="20"/>
                <w:szCs w:val="20"/>
              </w:rPr>
              <w:t>To insure the contractor against loss of or damage to an aircraft</w:t>
            </w:r>
            <w:r w:rsidRPr="00E27B8F">
              <w:rPr>
                <w:rFonts w:ascii="Arial" w:hAnsi="Arial" w:cs="Arial"/>
                <w:sz w:val="20"/>
                <w:szCs w:val="20"/>
              </w:rPr>
              <w:t xml:space="preserve"> </w:t>
            </w:r>
            <w:r>
              <w:rPr>
                <w:rFonts w:ascii="Arial" w:hAnsi="Arial" w:cs="Arial"/>
                <w:sz w:val="20"/>
                <w:szCs w:val="20"/>
              </w:rPr>
              <w:t xml:space="preserve">owned by the contractor (including aircraft for which the contractor is responsible to insure) </w:t>
            </w:r>
            <w:r w:rsidRPr="00E27B8F">
              <w:rPr>
                <w:rFonts w:ascii="Arial" w:hAnsi="Arial" w:cs="Arial"/>
                <w:sz w:val="20"/>
                <w:szCs w:val="20"/>
              </w:rPr>
              <w:t xml:space="preserve">to be used in the performance of the work under the contract. </w:t>
            </w:r>
          </w:p>
        </w:tc>
        <w:tc>
          <w:tcPr>
            <w:tcW w:w="0" w:type="auto"/>
            <w:tcBorders>
              <w:top w:val="single" w:sz="8" w:space="0" w:color="000000"/>
              <w:left w:val="single" w:sz="8" w:space="0" w:color="000000"/>
              <w:bottom w:val="single" w:sz="8" w:space="0" w:color="000000"/>
              <w:right w:val="single" w:sz="8" w:space="0" w:color="000000"/>
            </w:tcBorders>
            <w:shd w:val="pct15" w:color="auto" w:fill="auto"/>
          </w:tcPr>
          <w:p w14:paraId="1F87599F" w14:textId="3CFC7AEF" w:rsidR="00662AFB" w:rsidRPr="00634E17" w:rsidRDefault="00662AFB" w:rsidP="00CA1C9D">
            <w:pPr>
              <w:pStyle w:val="Default"/>
              <w:spacing w:before="110" w:after="110"/>
              <w:rPr>
                <w:rFonts w:ascii="Arial" w:hAnsi="Arial" w:cs="Arial"/>
                <w:sz w:val="20"/>
                <w:szCs w:val="20"/>
              </w:rPr>
            </w:pPr>
            <w:r>
              <w:rPr>
                <w:rFonts w:ascii="Arial" w:hAnsi="Arial" w:cs="Arial"/>
                <w:sz w:val="20"/>
                <w:szCs w:val="20"/>
              </w:rPr>
              <w:t>No insurance limit required to be specified</w:t>
            </w:r>
          </w:p>
        </w:tc>
        <w:tc>
          <w:tcPr>
            <w:tcW w:w="0" w:type="auto"/>
            <w:tcBorders>
              <w:top w:val="single" w:sz="8" w:space="0" w:color="000000"/>
              <w:left w:val="single" w:sz="8" w:space="0" w:color="000000"/>
              <w:bottom w:val="single" w:sz="8" w:space="0" w:color="000000"/>
              <w:right w:val="single" w:sz="8" w:space="0" w:color="000000"/>
            </w:tcBorders>
            <w:shd w:val="pct15" w:color="auto" w:fill="auto"/>
          </w:tcPr>
          <w:p w14:paraId="2685FC89" w14:textId="026C624C" w:rsidR="00662AFB" w:rsidRPr="00634E17" w:rsidRDefault="00662AFB" w:rsidP="00CA1C9D">
            <w:pPr>
              <w:pStyle w:val="Default"/>
              <w:spacing w:before="110" w:after="110"/>
              <w:rPr>
                <w:rFonts w:ascii="Arial" w:hAnsi="Arial" w:cs="Arial"/>
                <w:sz w:val="20"/>
                <w:szCs w:val="20"/>
              </w:rPr>
            </w:pPr>
            <w:r>
              <w:rPr>
                <w:rFonts w:ascii="Arial" w:hAnsi="Arial" w:cs="Arial"/>
                <w:sz w:val="20"/>
                <w:szCs w:val="20"/>
              </w:rPr>
              <w:t>No insurance limit required to be specified</w:t>
            </w:r>
          </w:p>
        </w:tc>
      </w:tr>
      <w:tr w:rsidR="00D440AE" w:rsidRPr="00634E17" w14:paraId="13F7A792" w14:textId="77777777" w:rsidTr="009A4FEC">
        <w:trPr>
          <w:cantSplit/>
        </w:trPr>
        <w:tc>
          <w:tcPr>
            <w:tcW w:w="0" w:type="auto"/>
            <w:tcBorders>
              <w:top w:val="single" w:sz="8" w:space="0" w:color="000000"/>
              <w:left w:val="single" w:sz="8" w:space="0" w:color="000000"/>
              <w:bottom w:val="single" w:sz="8" w:space="0" w:color="000000"/>
              <w:right w:val="single" w:sz="8" w:space="0" w:color="000000"/>
            </w:tcBorders>
          </w:tcPr>
          <w:p w14:paraId="0FBEA9E5" w14:textId="77777777" w:rsidR="00662AFB" w:rsidRDefault="00662AFB" w:rsidP="00E13B35">
            <w:pPr>
              <w:pStyle w:val="Default"/>
              <w:tabs>
                <w:tab w:val="left" w:pos="284"/>
              </w:tabs>
              <w:spacing w:before="110" w:after="110"/>
              <w:rPr>
                <w:rFonts w:ascii="Arial" w:hAnsi="Arial" w:cs="Arial"/>
                <w:sz w:val="20"/>
                <w:szCs w:val="20"/>
              </w:rPr>
            </w:pPr>
            <w:r>
              <w:rPr>
                <w:rFonts w:ascii="Arial" w:hAnsi="Arial" w:cs="Arial"/>
                <w:sz w:val="20"/>
                <w:szCs w:val="20"/>
              </w:rPr>
              <w:t>Aviation liability</w:t>
            </w:r>
          </w:p>
          <w:p w14:paraId="1396C8A6" w14:textId="2088677F" w:rsidR="00662AFB" w:rsidRDefault="00662AFB" w:rsidP="00D61E4C">
            <w:pPr>
              <w:pStyle w:val="NoteToDrafters-ASDEFCON"/>
              <w:rPr>
                <w:rFonts w:cs="Arial"/>
                <w:szCs w:val="20"/>
              </w:rPr>
            </w:pPr>
            <w:r>
              <w:t>Note to drafters:  Liability risks 4, 5, 6 and 7 may be relevant</w:t>
            </w:r>
          </w:p>
        </w:tc>
        <w:tc>
          <w:tcPr>
            <w:tcW w:w="8431" w:type="dxa"/>
            <w:tcBorders>
              <w:top w:val="single" w:sz="8" w:space="0" w:color="000000"/>
              <w:left w:val="single" w:sz="8" w:space="0" w:color="000000"/>
              <w:bottom w:val="single" w:sz="8" w:space="0" w:color="000000"/>
              <w:right w:val="single" w:sz="8" w:space="0" w:color="000000"/>
            </w:tcBorders>
          </w:tcPr>
          <w:p w14:paraId="468DC44E" w14:textId="738B57F7" w:rsidR="00662AFB" w:rsidRDefault="00662AFB" w:rsidP="00E13B35">
            <w:pPr>
              <w:pStyle w:val="Default"/>
              <w:spacing w:before="110" w:after="110"/>
              <w:rPr>
                <w:rFonts w:ascii="Arial" w:hAnsi="Arial" w:cs="Arial"/>
                <w:sz w:val="20"/>
                <w:szCs w:val="20"/>
              </w:rPr>
            </w:pPr>
            <w:r>
              <w:rPr>
                <w:rFonts w:ascii="Arial" w:hAnsi="Arial" w:cs="Arial"/>
                <w:sz w:val="20"/>
                <w:szCs w:val="20"/>
              </w:rPr>
              <w:t xml:space="preserve">To insure the contractor against loss, damage or loss of use of tangible property (other than contractor property) or </w:t>
            </w:r>
            <w:r w:rsidRPr="00BF3810">
              <w:rPr>
                <w:rFonts w:ascii="Arial" w:hAnsi="Arial" w:cs="Arial"/>
                <w:sz w:val="20"/>
                <w:szCs w:val="20"/>
              </w:rPr>
              <w:t>bodily injury, disease, illness or death of</w:t>
            </w:r>
            <w:r>
              <w:rPr>
                <w:rFonts w:ascii="Arial" w:hAnsi="Arial" w:cs="Arial"/>
                <w:sz w:val="20"/>
                <w:szCs w:val="20"/>
              </w:rPr>
              <w:t xml:space="preserve"> any person (other than contractor employees and officers) as a result of the contractor’s </w:t>
            </w:r>
            <w:r w:rsidRPr="00057F29">
              <w:rPr>
                <w:rFonts w:ascii="Arial" w:hAnsi="Arial" w:cs="Arial"/>
                <w:sz w:val="20"/>
                <w:szCs w:val="20"/>
              </w:rPr>
              <w:t>use or ownership of an aircraft or supply of aircraft or aviation products</w:t>
            </w:r>
            <w:r>
              <w:rPr>
                <w:rFonts w:ascii="Arial" w:hAnsi="Arial" w:cs="Arial"/>
                <w:sz w:val="20"/>
                <w:szCs w:val="20"/>
              </w:rPr>
              <w:t>.</w:t>
            </w:r>
          </w:p>
          <w:p w14:paraId="47B0CE0F" w14:textId="77777777" w:rsidR="00662AFB" w:rsidRDefault="00662AFB" w:rsidP="00E13B35">
            <w:pPr>
              <w:pStyle w:val="Default"/>
              <w:spacing w:before="110" w:after="110"/>
              <w:rPr>
                <w:rFonts w:ascii="Arial" w:hAnsi="Arial" w:cs="Arial"/>
                <w:sz w:val="20"/>
                <w:szCs w:val="20"/>
              </w:rPr>
            </w:pPr>
            <w:r>
              <w:rPr>
                <w:rFonts w:ascii="Arial" w:hAnsi="Arial" w:cs="Arial"/>
                <w:sz w:val="20"/>
                <w:szCs w:val="20"/>
              </w:rPr>
              <w:t xml:space="preserve">The Maximum Probable Loss would be </w:t>
            </w:r>
            <w:r w:rsidRPr="003707CF">
              <w:rPr>
                <w:rFonts w:ascii="Arial" w:hAnsi="Arial" w:cs="Arial"/>
                <w:b/>
                <w:sz w:val="20"/>
                <w:szCs w:val="20"/>
              </w:rPr>
              <w:t>[drafter to detail loss scenario]</w:t>
            </w:r>
            <w:r>
              <w:rPr>
                <w:rFonts w:ascii="Arial" w:hAnsi="Arial" w:cs="Arial"/>
                <w:sz w:val="20"/>
                <w:szCs w:val="20"/>
              </w:rPr>
              <w:t>.</w:t>
            </w:r>
          </w:p>
          <w:p w14:paraId="64DDFA9A" w14:textId="3F1EBA63" w:rsidR="00662AFB" w:rsidRDefault="00662AFB" w:rsidP="00E13B35">
            <w:pPr>
              <w:pStyle w:val="Default"/>
              <w:spacing w:before="110" w:after="110"/>
              <w:rPr>
                <w:rFonts w:ascii="Arial" w:hAnsi="Arial" w:cs="Arial"/>
                <w:sz w:val="20"/>
                <w:szCs w:val="20"/>
              </w:rPr>
            </w:pPr>
            <w:r>
              <w:rPr>
                <w:rFonts w:ascii="Arial" w:hAnsi="Arial" w:cs="Arial"/>
                <w:sz w:val="20"/>
                <w:szCs w:val="20"/>
              </w:rPr>
              <w:t xml:space="preserve">The project proposes an insurance amount that is </w:t>
            </w:r>
            <w:r w:rsidRPr="003707CF">
              <w:rPr>
                <w:rFonts w:ascii="Arial" w:hAnsi="Arial" w:cs="Arial"/>
                <w:b/>
                <w:sz w:val="20"/>
                <w:szCs w:val="20"/>
              </w:rPr>
              <w:t>[equal to/higher than/lower than]</w:t>
            </w:r>
            <w:r>
              <w:rPr>
                <w:rFonts w:ascii="Arial" w:hAnsi="Arial" w:cs="Arial"/>
                <w:sz w:val="20"/>
                <w:szCs w:val="20"/>
              </w:rPr>
              <w:t xml:space="preserve"> the Maximum Probable Loss as </w:t>
            </w:r>
            <w:r w:rsidRPr="003707CF">
              <w:rPr>
                <w:rFonts w:ascii="Arial" w:hAnsi="Arial" w:cs="Arial"/>
                <w:b/>
                <w:sz w:val="20"/>
                <w:szCs w:val="20"/>
              </w:rPr>
              <w:t>[drafter to justify proposed insurance amount]</w:t>
            </w:r>
            <w:r>
              <w:rPr>
                <w:rFonts w:ascii="Arial" w:hAnsi="Arial" w:cs="Arial"/>
                <w:sz w:val="20"/>
                <w:szCs w:val="20"/>
              </w:rPr>
              <w:t xml:space="preserve">. </w:t>
            </w:r>
          </w:p>
          <w:p w14:paraId="71779CD9" w14:textId="167DD2F9" w:rsidR="00662AFB" w:rsidRPr="00E27B8F" w:rsidRDefault="00662AFB" w:rsidP="00CA1C9D">
            <w:pPr>
              <w:pStyle w:val="Default"/>
              <w:spacing w:before="110" w:after="110"/>
              <w:rPr>
                <w:rFonts w:ascii="Arial" w:hAnsi="Arial" w:cs="Arial"/>
                <w:sz w:val="20"/>
                <w:szCs w:val="20"/>
              </w:rPr>
            </w:pPr>
            <w:r>
              <w:rPr>
                <w:rFonts w:ascii="Arial" w:hAnsi="Arial" w:cs="Arial"/>
                <w:sz w:val="20"/>
                <w:szCs w:val="20"/>
              </w:rPr>
              <w:t xml:space="preserve">The sublimit for </w:t>
            </w:r>
            <w:r w:rsidR="00F259DE" w:rsidRPr="00F259DE">
              <w:rPr>
                <w:rFonts w:ascii="Arial" w:hAnsi="Arial" w:cs="Arial"/>
                <w:sz w:val="20"/>
                <w:szCs w:val="20"/>
              </w:rPr>
              <w:t xml:space="preserve">loss of or damage to </w:t>
            </w:r>
            <w:r w:rsidRPr="000A0BEF">
              <w:rPr>
                <w:rFonts w:ascii="Arial" w:hAnsi="Arial" w:cs="Arial"/>
                <w:sz w:val="20"/>
                <w:szCs w:val="20"/>
              </w:rPr>
              <w:t>GFF, GFE and</w:t>
            </w:r>
            <w:r>
              <w:rPr>
                <w:rFonts w:ascii="Arial" w:hAnsi="Arial" w:cs="Arial"/>
                <w:sz w:val="20"/>
                <w:szCs w:val="20"/>
              </w:rPr>
              <w:t xml:space="preserve"> </w:t>
            </w:r>
            <w:r w:rsidRPr="000A0BEF">
              <w:rPr>
                <w:rFonts w:ascii="Arial" w:hAnsi="Arial" w:cs="Arial"/>
                <w:sz w:val="20"/>
                <w:szCs w:val="20"/>
              </w:rPr>
              <w:t>any other Commonwealth property in the care, custody</w:t>
            </w:r>
            <w:r>
              <w:rPr>
                <w:rFonts w:ascii="Arial" w:hAnsi="Arial" w:cs="Arial"/>
                <w:sz w:val="20"/>
                <w:szCs w:val="20"/>
              </w:rPr>
              <w:t xml:space="preserve"> or control of the Contractor or its Subcontractors </w:t>
            </w:r>
            <w:r w:rsidR="000A6328" w:rsidRPr="000A6328">
              <w:rPr>
                <w:rFonts w:ascii="Arial" w:hAnsi="Arial" w:cs="Arial"/>
                <w:sz w:val="20"/>
                <w:szCs w:val="20"/>
              </w:rPr>
              <w:t xml:space="preserve">is based on </w:t>
            </w:r>
            <w:r w:rsidR="000A6328" w:rsidRPr="000A6328">
              <w:rPr>
                <w:rFonts w:ascii="Arial" w:hAnsi="Arial" w:cs="Arial"/>
                <w:b/>
                <w:sz w:val="20"/>
                <w:szCs w:val="20"/>
              </w:rPr>
              <w:t>[drafter to detail]</w:t>
            </w:r>
            <w:r>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14:paraId="14C91324" w14:textId="557606AA" w:rsidR="00662AFB" w:rsidRDefault="00662AFB" w:rsidP="00CA1C9D">
            <w:pPr>
              <w:spacing w:before="110" w:after="110"/>
              <w:jc w:val="left"/>
            </w:pPr>
            <w:r w:rsidRPr="00A91430">
              <w:rPr>
                <w:rFonts w:cs="Arial"/>
                <w:szCs w:val="20"/>
              </w:rPr>
              <w:t>$Xm</w:t>
            </w:r>
          </w:p>
        </w:tc>
        <w:tc>
          <w:tcPr>
            <w:tcW w:w="0" w:type="auto"/>
            <w:tcBorders>
              <w:top w:val="single" w:sz="8" w:space="0" w:color="000000"/>
              <w:left w:val="single" w:sz="8" w:space="0" w:color="000000"/>
              <w:bottom w:val="single" w:sz="8" w:space="0" w:color="000000"/>
              <w:right w:val="single" w:sz="8" w:space="0" w:color="000000"/>
            </w:tcBorders>
          </w:tcPr>
          <w:p w14:paraId="1518FC92" w14:textId="57A4F8DC" w:rsidR="00D440AE" w:rsidRDefault="00662AFB" w:rsidP="00D440AE">
            <w:pPr>
              <w:spacing w:before="110" w:after="110"/>
              <w:jc w:val="left"/>
              <w:rPr>
                <w:rFonts w:cs="Arial"/>
                <w:szCs w:val="20"/>
              </w:rPr>
            </w:pPr>
            <w:r w:rsidRPr="00A91430">
              <w:rPr>
                <w:rFonts w:cs="Arial"/>
                <w:szCs w:val="20"/>
              </w:rPr>
              <w:t>$Xm</w:t>
            </w:r>
            <w:r w:rsidR="00523545">
              <w:rPr>
                <w:rFonts w:cs="Arial"/>
                <w:szCs w:val="20"/>
              </w:rPr>
              <w:t xml:space="preserve"> for aviation liability</w:t>
            </w:r>
          </w:p>
          <w:p w14:paraId="00F00B8C" w14:textId="74134C6E" w:rsidR="00662AFB" w:rsidRDefault="00D440AE" w:rsidP="00D9135D">
            <w:pPr>
              <w:spacing w:before="110" w:after="110"/>
              <w:jc w:val="left"/>
            </w:pPr>
            <w:r>
              <w:rPr>
                <w:rFonts w:cs="Arial"/>
                <w:szCs w:val="20"/>
              </w:rPr>
              <w:t>$Xm sublimit for Commonwealth Property</w:t>
            </w:r>
          </w:p>
        </w:tc>
      </w:tr>
      <w:tr w:rsidR="00D440AE" w:rsidRPr="00634E17" w14:paraId="32590A7C" w14:textId="77777777" w:rsidTr="009A4FEC">
        <w:trPr>
          <w:cantSplit/>
        </w:trPr>
        <w:tc>
          <w:tcPr>
            <w:tcW w:w="0" w:type="auto"/>
            <w:tcBorders>
              <w:top w:val="single" w:sz="8" w:space="0" w:color="000000"/>
              <w:left w:val="single" w:sz="8" w:space="0" w:color="000000"/>
              <w:bottom w:val="single" w:sz="8" w:space="0" w:color="000000"/>
              <w:right w:val="single" w:sz="8" w:space="0" w:color="000000"/>
            </w:tcBorders>
          </w:tcPr>
          <w:p w14:paraId="623BA3DD" w14:textId="77777777" w:rsidR="00662AFB" w:rsidRDefault="00662AFB" w:rsidP="00E13B35">
            <w:pPr>
              <w:pStyle w:val="Default"/>
              <w:tabs>
                <w:tab w:val="left" w:pos="284"/>
              </w:tabs>
              <w:spacing w:before="110" w:after="110"/>
              <w:rPr>
                <w:rFonts w:ascii="Arial" w:hAnsi="Arial" w:cs="Arial"/>
                <w:sz w:val="20"/>
                <w:szCs w:val="20"/>
              </w:rPr>
            </w:pPr>
            <w:r>
              <w:rPr>
                <w:rFonts w:ascii="Arial" w:hAnsi="Arial" w:cs="Arial"/>
                <w:sz w:val="20"/>
                <w:szCs w:val="20"/>
              </w:rPr>
              <w:lastRenderedPageBreak/>
              <w:t>Hangarkeepers</w:t>
            </w:r>
          </w:p>
          <w:p w14:paraId="1EE437E0" w14:textId="250A3D70" w:rsidR="00662AFB" w:rsidRDefault="00662AFB" w:rsidP="00D61E4C">
            <w:pPr>
              <w:pStyle w:val="NoteToDrafters-ASDEFCON"/>
            </w:pPr>
            <w:r>
              <w:t xml:space="preserve">Note to drafters:  </w:t>
            </w:r>
            <w:r w:rsidRPr="006D45C2">
              <w:t>Liability risks 4, 5, 6 and 7 may be relevant</w:t>
            </w:r>
          </w:p>
        </w:tc>
        <w:tc>
          <w:tcPr>
            <w:tcW w:w="8431" w:type="dxa"/>
            <w:tcBorders>
              <w:top w:val="single" w:sz="8" w:space="0" w:color="000000"/>
              <w:left w:val="single" w:sz="8" w:space="0" w:color="000000"/>
              <w:bottom w:val="single" w:sz="8" w:space="0" w:color="000000"/>
              <w:right w:val="single" w:sz="8" w:space="0" w:color="000000"/>
            </w:tcBorders>
          </w:tcPr>
          <w:p w14:paraId="7F072E1D" w14:textId="281FDD18" w:rsidR="00662AFB" w:rsidRDefault="00662AFB" w:rsidP="00E13B35">
            <w:pPr>
              <w:pStyle w:val="Default"/>
              <w:spacing w:before="110" w:after="110"/>
              <w:rPr>
                <w:rFonts w:ascii="Arial" w:hAnsi="Arial" w:cs="Arial"/>
                <w:sz w:val="20"/>
                <w:szCs w:val="20"/>
              </w:rPr>
            </w:pPr>
            <w:r>
              <w:rPr>
                <w:rFonts w:ascii="Arial" w:hAnsi="Arial" w:cs="Arial"/>
                <w:sz w:val="20"/>
                <w:szCs w:val="20"/>
              </w:rPr>
              <w:t xml:space="preserve">To insure the contractor </w:t>
            </w:r>
            <w:r w:rsidRPr="003E02C7">
              <w:rPr>
                <w:rFonts w:ascii="Arial" w:hAnsi="Arial" w:cs="Arial"/>
                <w:sz w:val="20"/>
                <w:szCs w:val="20"/>
              </w:rPr>
              <w:t>against</w:t>
            </w:r>
            <w:r w:rsidRPr="00A20F8C">
              <w:rPr>
                <w:rFonts w:ascii="Arial" w:hAnsi="Arial" w:cs="Arial"/>
                <w:sz w:val="20"/>
                <w:szCs w:val="20"/>
              </w:rPr>
              <w:t xml:space="preserve"> </w:t>
            </w:r>
            <w:r>
              <w:rPr>
                <w:rFonts w:ascii="Arial" w:hAnsi="Arial" w:cs="Arial"/>
                <w:sz w:val="20"/>
                <w:szCs w:val="20"/>
              </w:rPr>
              <w:t xml:space="preserve">loss or damage to tangible property (other than contractor property) or </w:t>
            </w:r>
            <w:r w:rsidRPr="00BF3810">
              <w:rPr>
                <w:rFonts w:ascii="Arial" w:hAnsi="Arial" w:cs="Arial"/>
                <w:sz w:val="20"/>
                <w:szCs w:val="20"/>
              </w:rPr>
              <w:t>bodily injury, disease, illness or death of</w:t>
            </w:r>
            <w:r>
              <w:rPr>
                <w:rFonts w:ascii="Arial" w:hAnsi="Arial" w:cs="Arial"/>
                <w:sz w:val="20"/>
                <w:szCs w:val="20"/>
              </w:rPr>
              <w:t xml:space="preserve"> any person (other than contractor employees and officers) as a result of the contractor’s </w:t>
            </w:r>
            <w:r w:rsidRPr="00057F29">
              <w:rPr>
                <w:rFonts w:ascii="Arial" w:hAnsi="Arial" w:cs="Arial"/>
                <w:sz w:val="20"/>
                <w:szCs w:val="20"/>
              </w:rPr>
              <w:t>occupation, use or ownership of any hangar, runways or related infrastructure and facilities</w:t>
            </w:r>
            <w:r>
              <w:rPr>
                <w:rFonts w:ascii="Arial" w:hAnsi="Arial" w:cs="Arial"/>
                <w:sz w:val="20"/>
                <w:szCs w:val="20"/>
              </w:rPr>
              <w:t>.</w:t>
            </w:r>
          </w:p>
          <w:p w14:paraId="5180FDF4" w14:textId="77777777" w:rsidR="00662AFB" w:rsidRDefault="00662AFB" w:rsidP="00E13B35">
            <w:pPr>
              <w:pStyle w:val="Default"/>
              <w:spacing w:before="110" w:after="110"/>
              <w:rPr>
                <w:rFonts w:ascii="Arial" w:hAnsi="Arial" w:cs="Arial"/>
                <w:sz w:val="20"/>
                <w:szCs w:val="20"/>
              </w:rPr>
            </w:pPr>
            <w:r>
              <w:rPr>
                <w:rFonts w:ascii="Arial" w:hAnsi="Arial" w:cs="Arial"/>
                <w:sz w:val="20"/>
                <w:szCs w:val="20"/>
              </w:rPr>
              <w:t xml:space="preserve">The Maximum Probable Loss would be </w:t>
            </w:r>
            <w:r w:rsidRPr="003707CF">
              <w:rPr>
                <w:rFonts w:ascii="Arial" w:hAnsi="Arial" w:cs="Arial"/>
                <w:b/>
                <w:sz w:val="20"/>
                <w:szCs w:val="20"/>
              </w:rPr>
              <w:t>[drafter to detail loss scenario]</w:t>
            </w:r>
            <w:r>
              <w:rPr>
                <w:rFonts w:ascii="Arial" w:hAnsi="Arial" w:cs="Arial"/>
                <w:sz w:val="20"/>
                <w:szCs w:val="20"/>
              </w:rPr>
              <w:t>.</w:t>
            </w:r>
          </w:p>
          <w:p w14:paraId="1ADE22B7" w14:textId="5ECECBF1" w:rsidR="00662AFB" w:rsidRPr="00E27B8F" w:rsidRDefault="00662AFB" w:rsidP="00CA1C9D">
            <w:pPr>
              <w:pStyle w:val="Default"/>
              <w:spacing w:before="110" w:after="110"/>
              <w:rPr>
                <w:rFonts w:ascii="Arial" w:hAnsi="Arial" w:cs="Arial"/>
                <w:sz w:val="20"/>
                <w:szCs w:val="20"/>
              </w:rPr>
            </w:pPr>
            <w:r>
              <w:rPr>
                <w:rFonts w:ascii="Arial" w:hAnsi="Arial" w:cs="Arial"/>
                <w:sz w:val="20"/>
                <w:szCs w:val="20"/>
              </w:rPr>
              <w:t xml:space="preserve">The project proposes an insurance amount that is </w:t>
            </w:r>
            <w:r w:rsidRPr="003707CF">
              <w:rPr>
                <w:rFonts w:ascii="Arial" w:hAnsi="Arial" w:cs="Arial"/>
                <w:b/>
                <w:sz w:val="20"/>
                <w:szCs w:val="20"/>
              </w:rPr>
              <w:t>[equal to/higher than/lower than]</w:t>
            </w:r>
            <w:r>
              <w:rPr>
                <w:rFonts w:ascii="Arial" w:hAnsi="Arial" w:cs="Arial"/>
                <w:sz w:val="20"/>
                <w:szCs w:val="20"/>
              </w:rPr>
              <w:t xml:space="preserve"> the Maximum Probable Loss as </w:t>
            </w:r>
            <w:r w:rsidRPr="003707CF">
              <w:rPr>
                <w:rFonts w:ascii="Arial" w:hAnsi="Arial" w:cs="Arial"/>
                <w:b/>
                <w:sz w:val="20"/>
                <w:szCs w:val="20"/>
              </w:rPr>
              <w:t>[drafter to justify proposed insurance amount]</w:t>
            </w:r>
            <w:r>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14:paraId="56E68CF3" w14:textId="4E7D69C3" w:rsidR="00662AFB" w:rsidRDefault="00662AFB" w:rsidP="00CA1C9D">
            <w:pPr>
              <w:spacing w:before="110" w:after="110"/>
              <w:jc w:val="left"/>
            </w:pPr>
            <w:r w:rsidRPr="00AD365A">
              <w:rPr>
                <w:rFonts w:cs="Arial"/>
                <w:szCs w:val="20"/>
              </w:rPr>
              <w:t>$Xm</w:t>
            </w:r>
          </w:p>
        </w:tc>
        <w:tc>
          <w:tcPr>
            <w:tcW w:w="0" w:type="auto"/>
            <w:tcBorders>
              <w:top w:val="single" w:sz="8" w:space="0" w:color="000000"/>
              <w:left w:val="single" w:sz="8" w:space="0" w:color="000000"/>
              <w:bottom w:val="single" w:sz="8" w:space="0" w:color="000000"/>
              <w:right w:val="single" w:sz="8" w:space="0" w:color="000000"/>
            </w:tcBorders>
          </w:tcPr>
          <w:p w14:paraId="65BA2CE4" w14:textId="23681E16" w:rsidR="00662AFB" w:rsidRDefault="00662AFB" w:rsidP="00D440AE">
            <w:pPr>
              <w:spacing w:before="110" w:after="110"/>
              <w:jc w:val="left"/>
            </w:pPr>
            <w:r w:rsidRPr="00AD365A">
              <w:rPr>
                <w:rFonts w:cs="Arial"/>
                <w:szCs w:val="20"/>
              </w:rPr>
              <w:t>$Xm</w:t>
            </w:r>
          </w:p>
        </w:tc>
      </w:tr>
      <w:tr w:rsidR="00D440AE" w:rsidRPr="00634E17" w14:paraId="41CD640F" w14:textId="77777777" w:rsidTr="009A4FEC">
        <w:trPr>
          <w:cantSplit/>
        </w:trPr>
        <w:tc>
          <w:tcPr>
            <w:tcW w:w="0" w:type="auto"/>
            <w:tcBorders>
              <w:top w:val="single" w:sz="8" w:space="0" w:color="000000"/>
              <w:left w:val="single" w:sz="8" w:space="0" w:color="000000"/>
              <w:bottom w:val="single" w:sz="8" w:space="0" w:color="000000"/>
              <w:right w:val="single" w:sz="8" w:space="0" w:color="000000"/>
            </w:tcBorders>
          </w:tcPr>
          <w:p w14:paraId="1CF400DB" w14:textId="4DF0274A" w:rsidR="00662AFB" w:rsidRDefault="00662AFB" w:rsidP="00CA1C9D">
            <w:pPr>
              <w:pStyle w:val="Default"/>
              <w:tabs>
                <w:tab w:val="left" w:pos="284"/>
              </w:tabs>
              <w:spacing w:before="110" w:after="110"/>
              <w:rPr>
                <w:rFonts w:ascii="Arial" w:hAnsi="Arial" w:cs="Arial"/>
                <w:sz w:val="20"/>
                <w:szCs w:val="20"/>
              </w:rPr>
            </w:pPr>
            <w:r>
              <w:rPr>
                <w:rFonts w:ascii="Arial" w:hAnsi="Arial" w:cs="Arial"/>
                <w:sz w:val="20"/>
                <w:szCs w:val="20"/>
              </w:rPr>
              <w:t>Marine hull</w:t>
            </w:r>
          </w:p>
        </w:tc>
        <w:tc>
          <w:tcPr>
            <w:tcW w:w="8431" w:type="dxa"/>
            <w:tcBorders>
              <w:top w:val="single" w:sz="8" w:space="0" w:color="000000"/>
              <w:left w:val="single" w:sz="8" w:space="0" w:color="000000"/>
              <w:bottom w:val="single" w:sz="8" w:space="0" w:color="000000"/>
              <w:right w:val="single" w:sz="8" w:space="0" w:color="000000"/>
            </w:tcBorders>
          </w:tcPr>
          <w:p w14:paraId="57D181D0" w14:textId="5D773536" w:rsidR="00662AFB" w:rsidRPr="00E27B8F" w:rsidRDefault="00662AFB" w:rsidP="00523545">
            <w:pPr>
              <w:pStyle w:val="Default"/>
              <w:spacing w:before="110" w:after="110"/>
              <w:rPr>
                <w:rFonts w:ascii="Arial" w:hAnsi="Arial" w:cs="Arial"/>
                <w:sz w:val="20"/>
                <w:szCs w:val="20"/>
              </w:rPr>
            </w:pPr>
            <w:r>
              <w:rPr>
                <w:rFonts w:ascii="Arial" w:hAnsi="Arial" w:cs="Arial"/>
                <w:sz w:val="20"/>
                <w:szCs w:val="20"/>
              </w:rPr>
              <w:t xml:space="preserve">To insure the contractor against loss of or damage to a marine vessel owned by the contractor (including vessels for which the contractor is responsible to insure) </w:t>
            </w:r>
            <w:r w:rsidRPr="00E27B8F">
              <w:rPr>
                <w:rFonts w:ascii="Arial" w:hAnsi="Arial" w:cs="Arial"/>
                <w:sz w:val="20"/>
                <w:szCs w:val="20"/>
              </w:rPr>
              <w:t xml:space="preserve">to be used in the performance of the work under the contract.  </w:t>
            </w:r>
          </w:p>
        </w:tc>
        <w:tc>
          <w:tcPr>
            <w:tcW w:w="0" w:type="auto"/>
            <w:tcBorders>
              <w:top w:val="single" w:sz="8" w:space="0" w:color="000000"/>
              <w:left w:val="single" w:sz="8" w:space="0" w:color="000000"/>
              <w:bottom w:val="single" w:sz="8" w:space="0" w:color="000000"/>
              <w:right w:val="single" w:sz="8" w:space="0" w:color="000000"/>
            </w:tcBorders>
            <w:shd w:val="pct15" w:color="auto" w:fill="auto"/>
          </w:tcPr>
          <w:p w14:paraId="1B6DE181" w14:textId="3D0C5D9B" w:rsidR="00662AFB" w:rsidRPr="00634E17" w:rsidRDefault="00662AFB" w:rsidP="00CA1C9D">
            <w:pPr>
              <w:pStyle w:val="Default"/>
              <w:spacing w:before="110" w:after="110"/>
              <w:rPr>
                <w:rFonts w:ascii="Arial" w:hAnsi="Arial" w:cs="Arial"/>
                <w:sz w:val="20"/>
                <w:szCs w:val="20"/>
              </w:rPr>
            </w:pPr>
            <w:r>
              <w:rPr>
                <w:rFonts w:ascii="Arial" w:hAnsi="Arial" w:cs="Arial"/>
                <w:sz w:val="20"/>
                <w:szCs w:val="20"/>
              </w:rPr>
              <w:t>No insurance limit required to be specified</w:t>
            </w:r>
          </w:p>
        </w:tc>
        <w:tc>
          <w:tcPr>
            <w:tcW w:w="0" w:type="auto"/>
            <w:tcBorders>
              <w:top w:val="single" w:sz="8" w:space="0" w:color="000000"/>
              <w:left w:val="single" w:sz="8" w:space="0" w:color="000000"/>
              <w:bottom w:val="single" w:sz="8" w:space="0" w:color="000000"/>
              <w:right w:val="single" w:sz="8" w:space="0" w:color="000000"/>
            </w:tcBorders>
            <w:shd w:val="pct15" w:color="auto" w:fill="auto"/>
          </w:tcPr>
          <w:p w14:paraId="6170DCA4" w14:textId="43FF926D" w:rsidR="00662AFB" w:rsidRPr="00634E17" w:rsidRDefault="00662AFB" w:rsidP="00CA1C9D">
            <w:pPr>
              <w:pStyle w:val="Default"/>
              <w:spacing w:before="110" w:after="110"/>
              <w:rPr>
                <w:rFonts w:ascii="Arial" w:hAnsi="Arial" w:cs="Arial"/>
                <w:sz w:val="20"/>
                <w:szCs w:val="20"/>
              </w:rPr>
            </w:pPr>
            <w:r>
              <w:rPr>
                <w:rFonts w:ascii="Arial" w:hAnsi="Arial" w:cs="Arial"/>
                <w:sz w:val="20"/>
                <w:szCs w:val="20"/>
              </w:rPr>
              <w:t>No insurance limit required to be specified</w:t>
            </w:r>
          </w:p>
        </w:tc>
      </w:tr>
      <w:tr w:rsidR="00D440AE" w:rsidRPr="00634E17" w14:paraId="6AC302FD" w14:textId="77777777" w:rsidTr="009A4FEC">
        <w:trPr>
          <w:cantSplit/>
        </w:trPr>
        <w:tc>
          <w:tcPr>
            <w:tcW w:w="0" w:type="auto"/>
            <w:tcBorders>
              <w:top w:val="single" w:sz="8" w:space="0" w:color="000000"/>
              <w:left w:val="single" w:sz="8" w:space="0" w:color="000000"/>
              <w:bottom w:val="single" w:sz="8" w:space="0" w:color="000000"/>
              <w:right w:val="single" w:sz="8" w:space="0" w:color="000000"/>
            </w:tcBorders>
          </w:tcPr>
          <w:p w14:paraId="49BDD404" w14:textId="77777777" w:rsidR="00662AFB" w:rsidRDefault="00662AFB" w:rsidP="00E13B35">
            <w:pPr>
              <w:pStyle w:val="Default"/>
              <w:tabs>
                <w:tab w:val="left" w:pos="284"/>
              </w:tabs>
              <w:spacing w:before="110" w:after="110"/>
              <w:rPr>
                <w:rFonts w:ascii="Arial" w:hAnsi="Arial" w:cs="Arial"/>
                <w:sz w:val="20"/>
                <w:szCs w:val="20"/>
              </w:rPr>
            </w:pPr>
            <w:r>
              <w:rPr>
                <w:rFonts w:ascii="Arial" w:hAnsi="Arial" w:cs="Arial"/>
                <w:sz w:val="20"/>
                <w:szCs w:val="20"/>
              </w:rPr>
              <w:t>Marine liability</w:t>
            </w:r>
          </w:p>
          <w:p w14:paraId="7F845D2D" w14:textId="127B71C0" w:rsidR="00662AFB" w:rsidRDefault="00662AFB" w:rsidP="00D61E4C">
            <w:pPr>
              <w:pStyle w:val="NoteToDrafters-ASDEFCON"/>
              <w:rPr>
                <w:rFonts w:cs="Arial"/>
                <w:szCs w:val="20"/>
              </w:rPr>
            </w:pPr>
            <w:r>
              <w:t xml:space="preserve">Note to drafters:  </w:t>
            </w:r>
            <w:r w:rsidRPr="006D45C2">
              <w:t>Liability risks 4, 5, 6 and 7 may be relevant</w:t>
            </w:r>
          </w:p>
        </w:tc>
        <w:tc>
          <w:tcPr>
            <w:tcW w:w="8431" w:type="dxa"/>
            <w:tcBorders>
              <w:top w:val="single" w:sz="8" w:space="0" w:color="000000"/>
              <w:left w:val="single" w:sz="8" w:space="0" w:color="000000"/>
              <w:bottom w:val="single" w:sz="8" w:space="0" w:color="000000"/>
              <w:right w:val="single" w:sz="8" w:space="0" w:color="000000"/>
            </w:tcBorders>
          </w:tcPr>
          <w:p w14:paraId="1771F9DB" w14:textId="0A91AB51" w:rsidR="00662AFB" w:rsidRDefault="00662AFB" w:rsidP="00E13B35">
            <w:pPr>
              <w:pStyle w:val="Default"/>
              <w:spacing w:before="110" w:after="110"/>
              <w:rPr>
                <w:rFonts w:ascii="Arial" w:hAnsi="Arial" w:cs="Arial"/>
                <w:sz w:val="20"/>
                <w:szCs w:val="20"/>
              </w:rPr>
            </w:pPr>
            <w:r>
              <w:rPr>
                <w:rFonts w:ascii="Arial" w:hAnsi="Arial" w:cs="Arial"/>
                <w:sz w:val="20"/>
                <w:szCs w:val="20"/>
              </w:rPr>
              <w:t xml:space="preserve">To insure the contractor </w:t>
            </w:r>
            <w:r w:rsidRPr="003E02C7">
              <w:rPr>
                <w:rFonts w:ascii="Arial" w:hAnsi="Arial" w:cs="Arial"/>
                <w:sz w:val="20"/>
                <w:szCs w:val="20"/>
              </w:rPr>
              <w:t>against</w:t>
            </w:r>
            <w:r w:rsidRPr="00A20F8C">
              <w:rPr>
                <w:rFonts w:ascii="Arial" w:hAnsi="Arial" w:cs="Arial"/>
                <w:sz w:val="20"/>
                <w:szCs w:val="20"/>
              </w:rPr>
              <w:t xml:space="preserve"> </w:t>
            </w:r>
            <w:r>
              <w:rPr>
                <w:rFonts w:ascii="Arial" w:hAnsi="Arial" w:cs="Arial"/>
                <w:sz w:val="20"/>
                <w:szCs w:val="20"/>
              </w:rPr>
              <w:t xml:space="preserve">loss, damage or loss of use of tangible property (other than contractor property) or </w:t>
            </w:r>
            <w:r w:rsidRPr="00BF3810">
              <w:rPr>
                <w:rFonts w:ascii="Arial" w:hAnsi="Arial" w:cs="Arial"/>
                <w:sz w:val="20"/>
                <w:szCs w:val="20"/>
              </w:rPr>
              <w:t>bodily injury, disease, illness or death of</w:t>
            </w:r>
            <w:r>
              <w:rPr>
                <w:rFonts w:ascii="Arial" w:hAnsi="Arial" w:cs="Arial"/>
                <w:sz w:val="20"/>
                <w:szCs w:val="20"/>
              </w:rPr>
              <w:t xml:space="preserve"> any person (other than contractor employees and officers) as a result of the contractor’s </w:t>
            </w:r>
            <w:r w:rsidRPr="00057F29">
              <w:rPr>
                <w:rFonts w:ascii="Arial" w:hAnsi="Arial" w:cs="Arial"/>
                <w:sz w:val="20"/>
                <w:szCs w:val="20"/>
              </w:rPr>
              <w:t>use or ownership of a marine vessel</w:t>
            </w:r>
            <w:r>
              <w:rPr>
                <w:rFonts w:ascii="Arial" w:hAnsi="Arial" w:cs="Arial"/>
                <w:sz w:val="20"/>
                <w:szCs w:val="20"/>
              </w:rPr>
              <w:t>.</w:t>
            </w:r>
          </w:p>
          <w:p w14:paraId="0A8AF910" w14:textId="77777777" w:rsidR="00662AFB" w:rsidRDefault="00662AFB" w:rsidP="00E13B35">
            <w:pPr>
              <w:pStyle w:val="Default"/>
              <w:spacing w:before="110" w:after="110"/>
              <w:rPr>
                <w:rFonts w:ascii="Arial" w:hAnsi="Arial" w:cs="Arial"/>
                <w:sz w:val="20"/>
                <w:szCs w:val="20"/>
              </w:rPr>
            </w:pPr>
            <w:r>
              <w:rPr>
                <w:rFonts w:ascii="Arial" w:hAnsi="Arial" w:cs="Arial"/>
                <w:sz w:val="20"/>
                <w:szCs w:val="20"/>
              </w:rPr>
              <w:t xml:space="preserve">The Maximum Probable Loss would be </w:t>
            </w:r>
            <w:r w:rsidRPr="003707CF">
              <w:rPr>
                <w:rFonts w:ascii="Arial" w:hAnsi="Arial" w:cs="Arial"/>
                <w:b/>
                <w:sz w:val="20"/>
                <w:szCs w:val="20"/>
              </w:rPr>
              <w:t>[drafter to detail loss scenario]</w:t>
            </w:r>
            <w:r>
              <w:rPr>
                <w:rFonts w:ascii="Arial" w:hAnsi="Arial" w:cs="Arial"/>
                <w:sz w:val="20"/>
                <w:szCs w:val="20"/>
              </w:rPr>
              <w:t>.</w:t>
            </w:r>
          </w:p>
          <w:p w14:paraId="10819EA0" w14:textId="424F9310" w:rsidR="00662AFB" w:rsidRDefault="00662AFB" w:rsidP="00E13B35">
            <w:pPr>
              <w:pStyle w:val="Default"/>
              <w:spacing w:before="110" w:after="110"/>
              <w:rPr>
                <w:rFonts w:ascii="Arial" w:hAnsi="Arial" w:cs="Arial"/>
                <w:sz w:val="20"/>
                <w:szCs w:val="20"/>
              </w:rPr>
            </w:pPr>
            <w:r>
              <w:rPr>
                <w:rFonts w:ascii="Arial" w:hAnsi="Arial" w:cs="Arial"/>
                <w:sz w:val="20"/>
                <w:szCs w:val="20"/>
              </w:rPr>
              <w:t xml:space="preserve">The project proposes an insurance amount that is </w:t>
            </w:r>
            <w:r w:rsidRPr="003707CF">
              <w:rPr>
                <w:rFonts w:ascii="Arial" w:hAnsi="Arial" w:cs="Arial"/>
                <w:b/>
                <w:sz w:val="20"/>
                <w:szCs w:val="20"/>
              </w:rPr>
              <w:t>[equal to/higher than/lower than]</w:t>
            </w:r>
            <w:r>
              <w:rPr>
                <w:rFonts w:ascii="Arial" w:hAnsi="Arial" w:cs="Arial"/>
                <w:sz w:val="20"/>
                <w:szCs w:val="20"/>
              </w:rPr>
              <w:t xml:space="preserve"> the Maximum Probable Loss as </w:t>
            </w:r>
            <w:r w:rsidRPr="003707CF">
              <w:rPr>
                <w:rFonts w:ascii="Arial" w:hAnsi="Arial" w:cs="Arial"/>
                <w:b/>
                <w:sz w:val="20"/>
                <w:szCs w:val="20"/>
              </w:rPr>
              <w:t>[drafter to justify proposed insurance amount]</w:t>
            </w:r>
            <w:r>
              <w:rPr>
                <w:rFonts w:ascii="Arial" w:hAnsi="Arial" w:cs="Arial"/>
                <w:sz w:val="20"/>
                <w:szCs w:val="20"/>
              </w:rPr>
              <w:t xml:space="preserve">. </w:t>
            </w:r>
          </w:p>
          <w:p w14:paraId="1EDBD7AC" w14:textId="0493D180" w:rsidR="00662AFB" w:rsidRPr="00E27B8F" w:rsidRDefault="00662AFB" w:rsidP="00F259DE">
            <w:pPr>
              <w:pStyle w:val="Default"/>
              <w:spacing w:before="110" w:after="110"/>
              <w:rPr>
                <w:rFonts w:ascii="Arial" w:hAnsi="Arial" w:cs="Arial"/>
                <w:sz w:val="20"/>
                <w:szCs w:val="20"/>
              </w:rPr>
            </w:pPr>
            <w:r>
              <w:rPr>
                <w:rFonts w:ascii="Arial" w:hAnsi="Arial" w:cs="Arial"/>
                <w:sz w:val="20"/>
                <w:szCs w:val="20"/>
              </w:rPr>
              <w:t xml:space="preserve">The sublimit for </w:t>
            </w:r>
            <w:r w:rsidR="0016070A" w:rsidRPr="0016070A">
              <w:rPr>
                <w:rFonts w:ascii="Arial" w:hAnsi="Arial" w:cs="Arial"/>
                <w:sz w:val="20"/>
                <w:szCs w:val="20"/>
              </w:rPr>
              <w:t xml:space="preserve">loss of or damage to </w:t>
            </w:r>
            <w:r w:rsidRPr="000A0BEF">
              <w:rPr>
                <w:rFonts w:ascii="Arial" w:hAnsi="Arial" w:cs="Arial"/>
                <w:sz w:val="20"/>
                <w:szCs w:val="20"/>
              </w:rPr>
              <w:t>GFF, GFE and</w:t>
            </w:r>
            <w:r>
              <w:rPr>
                <w:rFonts w:ascii="Arial" w:hAnsi="Arial" w:cs="Arial"/>
                <w:sz w:val="20"/>
                <w:szCs w:val="20"/>
              </w:rPr>
              <w:t xml:space="preserve"> </w:t>
            </w:r>
            <w:r w:rsidRPr="000A0BEF">
              <w:rPr>
                <w:rFonts w:ascii="Arial" w:hAnsi="Arial" w:cs="Arial"/>
                <w:sz w:val="20"/>
                <w:szCs w:val="20"/>
              </w:rPr>
              <w:t>any other Commonwealth property in the care, custody</w:t>
            </w:r>
            <w:r>
              <w:rPr>
                <w:rFonts w:ascii="Arial" w:hAnsi="Arial" w:cs="Arial"/>
                <w:sz w:val="20"/>
                <w:szCs w:val="20"/>
              </w:rPr>
              <w:t xml:space="preserve"> or control of the Contractor or its Subcontractors </w:t>
            </w:r>
            <w:r w:rsidR="00523545" w:rsidRPr="00523545">
              <w:rPr>
                <w:rFonts w:ascii="Arial" w:hAnsi="Arial" w:cs="Arial"/>
                <w:sz w:val="20"/>
                <w:szCs w:val="20"/>
              </w:rPr>
              <w:t xml:space="preserve">is based on </w:t>
            </w:r>
            <w:r w:rsidR="00523545" w:rsidRPr="00523545">
              <w:rPr>
                <w:rFonts w:ascii="Arial" w:hAnsi="Arial" w:cs="Arial"/>
                <w:b/>
                <w:sz w:val="20"/>
                <w:szCs w:val="20"/>
              </w:rPr>
              <w:t>[drafter to detail]</w:t>
            </w:r>
            <w:r>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14:paraId="72ED99D4" w14:textId="6DD91F3F" w:rsidR="00662AFB" w:rsidRDefault="00662AFB" w:rsidP="00CA1C9D">
            <w:pPr>
              <w:spacing w:before="110" w:after="110"/>
              <w:jc w:val="left"/>
            </w:pPr>
            <w:r w:rsidRPr="007B023D">
              <w:rPr>
                <w:rFonts w:cs="Arial"/>
                <w:szCs w:val="20"/>
              </w:rPr>
              <w:t>$Xm</w:t>
            </w:r>
          </w:p>
        </w:tc>
        <w:tc>
          <w:tcPr>
            <w:tcW w:w="0" w:type="auto"/>
            <w:tcBorders>
              <w:top w:val="single" w:sz="8" w:space="0" w:color="000000"/>
              <w:left w:val="single" w:sz="8" w:space="0" w:color="000000"/>
              <w:bottom w:val="single" w:sz="8" w:space="0" w:color="000000"/>
              <w:right w:val="single" w:sz="8" w:space="0" w:color="000000"/>
            </w:tcBorders>
          </w:tcPr>
          <w:p w14:paraId="49EBEAD2" w14:textId="763635EB" w:rsidR="00D440AE" w:rsidRDefault="00662AFB" w:rsidP="00D440AE">
            <w:pPr>
              <w:spacing w:before="110" w:after="110"/>
              <w:jc w:val="left"/>
              <w:rPr>
                <w:rFonts w:cs="Arial"/>
                <w:szCs w:val="20"/>
              </w:rPr>
            </w:pPr>
            <w:r w:rsidRPr="007B023D">
              <w:rPr>
                <w:rFonts w:cs="Arial"/>
                <w:szCs w:val="20"/>
              </w:rPr>
              <w:t>$Xm</w:t>
            </w:r>
            <w:r w:rsidR="008C4004">
              <w:rPr>
                <w:rFonts w:cs="Arial"/>
                <w:szCs w:val="20"/>
              </w:rPr>
              <w:t xml:space="preserve"> for marine liability</w:t>
            </w:r>
          </w:p>
          <w:p w14:paraId="20334AA3" w14:textId="35D8D0A0" w:rsidR="00662AFB" w:rsidRDefault="00D440AE" w:rsidP="00D9135D">
            <w:pPr>
              <w:spacing w:before="110" w:after="110"/>
              <w:jc w:val="left"/>
            </w:pPr>
            <w:r>
              <w:rPr>
                <w:rFonts w:cs="Arial"/>
                <w:szCs w:val="20"/>
              </w:rPr>
              <w:t>$Xm sublimit for Commonwealth Property</w:t>
            </w:r>
          </w:p>
        </w:tc>
      </w:tr>
      <w:tr w:rsidR="00D440AE" w:rsidRPr="00634E17" w14:paraId="5CF164EE" w14:textId="77777777" w:rsidTr="009A4FEC">
        <w:trPr>
          <w:cantSplit/>
        </w:trPr>
        <w:tc>
          <w:tcPr>
            <w:tcW w:w="0" w:type="auto"/>
            <w:tcBorders>
              <w:top w:val="single" w:sz="8" w:space="0" w:color="000000"/>
              <w:left w:val="single" w:sz="8" w:space="0" w:color="000000"/>
              <w:bottom w:val="single" w:sz="8" w:space="0" w:color="000000"/>
              <w:right w:val="single" w:sz="8" w:space="0" w:color="000000"/>
            </w:tcBorders>
          </w:tcPr>
          <w:p w14:paraId="08195A9B" w14:textId="77777777" w:rsidR="00662AFB" w:rsidRDefault="00662AFB" w:rsidP="00E13B35">
            <w:pPr>
              <w:pStyle w:val="Default"/>
              <w:tabs>
                <w:tab w:val="left" w:pos="284"/>
              </w:tabs>
              <w:spacing w:before="110" w:after="110"/>
              <w:rPr>
                <w:rFonts w:ascii="Arial" w:hAnsi="Arial" w:cs="Arial"/>
                <w:sz w:val="20"/>
                <w:szCs w:val="20"/>
              </w:rPr>
            </w:pPr>
            <w:r>
              <w:rPr>
                <w:rFonts w:ascii="Arial" w:hAnsi="Arial" w:cs="Arial"/>
                <w:sz w:val="20"/>
                <w:szCs w:val="20"/>
              </w:rPr>
              <w:lastRenderedPageBreak/>
              <w:t xml:space="preserve">Ship builder's </w:t>
            </w:r>
          </w:p>
          <w:p w14:paraId="56569174" w14:textId="4FB5B118" w:rsidR="00662AFB" w:rsidRDefault="00662AFB" w:rsidP="00D61E4C">
            <w:pPr>
              <w:pStyle w:val="NoteToDrafters-ASDEFCON"/>
              <w:rPr>
                <w:rFonts w:cs="Arial"/>
                <w:szCs w:val="20"/>
              </w:rPr>
            </w:pPr>
            <w:r>
              <w:t xml:space="preserve">Note to drafters:  </w:t>
            </w:r>
            <w:r w:rsidRPr="006D45C2">
              <w:t>Liability risks 4, 5, 6 and 7 may be relevant</w:t>
            </w:r>
          </w:p>
        </w:tc>
        <w:tc>
          <w:tcPr>
            <w:tcW w:w="8431" w:type="dxa"/>
            <w:tcBorders>
              <w:top w:val="single" w:sz="8" w:space="0" w:color="000000"/>
              <w:left w:val="single" w:sz="8" w:space="0" w:color="000000"/>
              <w:bottom w:val="single" w:sz="8" w:space="0" w:color="000000"/>
              <w:right w:val="single" w:sz="8" w:space="0" w:color="000000"/>
            </w:tcBorders>
          </w:tcPr>
          <w:p w14:paraId="27E6F36F" w14:textId="59C85BA5" w:rsidR="00662AFB" w:rsidRDefault="00662AFB" w:rsidP="00E13B35">
            <w:pPr>
              <w:pStyle w:val="Default"/>
              <w:spacing w:before="110" w:after="110"/>
              <w:rPr>
                <w:rFonts w:ascii="Arial" w:hAnsi="Arial" w:cs="Arial"/>
                <w:sz w:val="20"/>
                <w:szCs w:val="20"/>
              </w:rPr>
            </w:pPr>
            <w:r>
              <w:rPr>
                <w:rFonts w:ascii="Arial" w:hAnsi="Arial" w:cs="Arial"/>
                <w:sz w:val="20"/>
                <w:szCs w:val="20"/>
              </w:rPr>
              <w:t>To insure the contractor against loss of or damage to the hull under construction (and the plant, equipment and facilities used in the construction). No insurance limit is required for this property component of the ship builders insurance policy.</w:t>
            </w:r>
          </w:p>
          <w:p w14:paraId="6215C15D" w14:textId="6B0A1313" w:rsidR="00662AFB" w:rsidRDefault="00662AFB" w:rsidP="00E13B35">
            <w:pPr>
              <w:pStyle w:val="Default"/>
              <w:spacing w:before="110" w:after="110"/>
              <w:rPr>
                <w:rFonts w:ascii="Arial" w:hAnsi="Arial" w:cs="Arial"/>
                <w:sz w:val="20"/>
                <w:szCs w:val="20"/>
              </w:rPr>
            </w:pPr>
            <w:r>
              <w:rPr>
                <w:rFonts w:ascii="Arial" w:hAnsi="Arial" w:cs="Arial"/>
                <w:sz w:val="20"/>
                <w:szCs w:val="20"/>
              </w:rPr>
              <w:t xml:space="preserve">To insure the contractor against loss, damage or loss of use of tangible property (other than contractor property) or </w:t>
            </w:r>
            <w:r w:rsidRPr="00BF3810">
              <w:rPr>
                <w:rFonts w:ascii="Arial" w:hAnsi="Arial" w:cs="Arial"/>
                <w:sz w:val="20"/>
                <w:szCs w:val="20"/>
              </w:rPr>
              <w:t>bodily injury, disease, illness or death of</w:t>
            </w:r>
            <w:r>
              <w:rPr>
                <w:rFonts w:ascii="Arial" w:hAnsi="Arial" w:cs="Arial"/>
                <w:sz w:val="20"/>
                <w:szCs w:val="20"/>
              </w:rPr>
              <w:t xml:space="preserve"> any person (other than contractor employees and officers) as a result of the contractor’s </w:t>
            </w:r>
            <w:r w:rsidRPr="00057F29">
              <w:rPr>
                <w:rFonts w:ascii="Arial" w:hAnsi="Arial" w:cs="Arial"/>
                <w:sz w:val="20"/>
                <w:szCs w:val="20"/>
              </w:rPr>
              <w:t xml:space="preserve">ship </w:t>
            </w:r>
            <w:r>
              <w:rPr>
                <w:rFonts w:ascii="Arial" w:hAnsi="Arial" w:cs="Arial"/>
                <w:sz w:val="20"/>
                <w:szCs w:val="20"/>
              </w:rPr>
              <w:t>building</w:t>
            </w:r>
            <w:r w:rsidRPr="00057F29">
              <w:rPr>
                <w:rFonts w:ascii="Arial" w:hAnsi="Arial" w:cs="Arial"/>
                <w:sz w:val="20"/>
                <w:szCs w:val="20"/>
              </w:rPr>
              <w:t xml:space="preserve"> activities</w:t>
            </w:r>
            <w:r>
              <w:rPr>
                <w:rFonts w:ascii="Arial" w:hAnsi="Arial" w:cs="Arial"/>
                <w:sz w:val="20"/>
                <w:szCs w:val="20"/>
              </w:rPr>
              <w:t>.</w:t>
            </w:r>
          </w:p>
          <w:p w14:paraId="77A7F708" w14:textId="77777777" w:rsidR="00662AFB" w:rsidRDefault="00662AFB" w:rsidP="00E13B35">
            <w:pPr>
              <w:pStyle w:val="Default"/>
              <w:spacing w:before="110" w:after="110"/>
              <w:rPr>
                <w:rFonts w:ascii="Arial" w:hAnsi="Arial" w:cs="Arial"/>
                <w:sz w:val="20"/>
                <w:szCs w:val="20"/>
              </w:rPr>
            </w:pPr>
            <w:r>
              <w:rPr>
                <w:rFonts w:ascii="Arial" w:hAnsi="Arial" w:cs="Arial"/>
                <w:sz w:val="20"/>
                <w:szCs w:val="20"/>
              </w:rPr>
              <w:t xml:space="preserve">The Maximum Probable Loss would be </w:t>
            </w:r>
            <w:r w:rsidRPr="003707CF">
              <w:rPr>
                <w:rFonts w:ascii="Arial" w:hAnsi="Arial" w:cs="Arial"/>
                <w:b/>
                <w:sz w:val="20"/>
                <w:szCs w:val="20"/>
              </w:rPr>
              <w:t>[drafter to detail loss scenario]</w:t>
            </w:r>
            <w:r>
              <w:rPr>
                <w:rFonts w:ascii="Arial" w:hAnsi="Arial" w:cs="Arial"/>
                <w:sz w:val="20"/>
                <w:szCs w:val="20"/>
              </w:rPr>
              <w:t>.</w:t>
            </w:r>
          </w:p>
          <w:p w14:paraId="50C67A7E" w14:textId="79F2A14A" w:rsidR="00662AFB" w:rsidRPr="00E27B8F" w:rsidRDefault="00662AFB" w:rsidP="00CA1C9D">
            <w:pPr>
              <w:pStyle w:val="Default"/>
              <w:spacing w:before="110" w:after="110"/>
              <w:rPr>
                <w:rFonts w:ascii="Arial" w:hAnsi="Arial" w:cs="Arial"/>
                <w:sz w:val="20"/>
                <w:szCs w:val="20"/>
              </w:rPr>
            </w:pPr>
            <w:r>
              <w:rPr>
                <w:rFonts w:ascii="Arial" w:hAnsi="Arial" w:cs="Arial"/>
                <w:sz w:val="20"/>
                <w:szCs w:val="20"/>
              </w:rPr>
              <w:t xml:space="preserve">The project proposes an insurance amount that is </w:t>
            </w:r>
            <w:r w:rsidRPr="003707CF">
              <w:rPr>
                <w:rFonts w:ascii="Arial" w:hAnsi="Arial" w:cs="Arial"/>
                <w:b/>
                <w:sz w:val="20"/>
                <w:szCs w:val="20"/>
              </w:rPr>
              <w:t>[equal to/higher than/lower than]</w:t>
            </w:r>
            <w:r>
              <w:rPr>
                <w:rFonts w:ascii="Arial" w:hAnsi="Arial" w:cs="Arial"/>
                <w:sz w:val="20"/>
                <w:szCs w:val="20"/>
              </w:rPr>
              <w:t xml:space="preserve"> the Maximum Probable Loss as </w:t>
            </w:r>
            <w:r w:rsidRPr="003707CF">
              <w:rPr>
                <w:rFonts w:ascii="Arial" w:hAnsi="Arial" w:cs="Arial"/>
                <w:b/>
                <w:sz w:val="20"/>
                <w:szCs w:val="20"/>
              </w:rPr>
              <w:t>[drafter to justify proposed insurance amount]</w:t>
            </w:r>
            <w:r>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14:paraId="69561C25" w14:textId="40CD3901" w:rsidR="00662AFB" w:rsidRDefault="00662AFB" w:rsidP="00CA1C9D">
            <w:pPr>
              <w:spacing w:before="110" w:after="110"/>
              <w:jc w:val="left"/>
            </w:pPr>
            <w:r w:rsidRPr="000A0C23">
              <w:rPr>
                <w:rFonts w:cs="Arial"/>
                <w:szCs w:val="20"/>
              </w:rPr>
              <w:t>$Xm</w:t>
            </w:r>
          </w:p>
        </w:tc>
        <w:tc>
          <w:tcPr>
            <w:tcW w:w="0" w:type="auto"/>
            <w:tcBorders>
              <w:top w:val="single" w:sz="8" w:space="0" w:color="000000"/>
              <w:left w:val="single" w:sz="8" w:space="0" w:color="000000"/>
              <w:bottom w:val="single" w:sz="8" w:space="0" w:color="000000"/>
              <w:right w:val="single" w:sz="8" w:space="0" w:color="000000"/>
            </w:tcBorders>
          </w:tcPr>
          <w:p w14:paraId="2782B89F" w14:textId="4823FC24" w:rsidR="00662AFB" w:rsidRDefault="00662AFB" w:rsidP="00CA1C9D">
            <w:pPr>
              <w:spacing w:before="110" w:after="110"/>
              <w:jc w:val="left"/>
            </w:pPr>
            <w:r w:rsidRPr="000A0C23">
              <w:rPr>
                <w:rFonts w:cs="Arial"/>
                <w:szCs w:val="20"/>
              </w:rPr>
              <w:t>$Xm</w:t>
            </w:r>
          </w:p>
        </w:tc>
      </w:tr>
      <w:tr w:rsidR="00D440AE" w:rsidRPr="00634E17" w14:paraId="44FC5A6C" w14:textId="77777777" w:rsidTr="009A4FEC">
        <w:trPr>
          <w:cantSplit/>
        </w:trPr>
        <w:tc>
          <w:tcPr>
            <w:tcW w:w="0" w:type="auto"/>
            <w:tcBorders>
              <w:top w:val="single" w:sz="8" w:space="0" w:color="000000"/>
              <w:left w:val="single" w:sz="8" w:space="0" w:color="000000"/>
              <w:bottom w:val="single" w:sz="8" w:space="0" w:color="000000"/>
              <w:right w:val="single" w:sz="8" w:space="0" w:color="000000"/>
            </w:tcBorders>
          </w:tcPr>
          <w:p w14:paraId="5E34D7D8" w14:textId="77777777" w:rsidR="00662AFB" w:rsidRDefault="00662AFB" w:rsidP="00E13B35">
            <w:pPr>
              <w:pStyle w:val="Default"/>
              <w:tabs>
                <w:tab w:val="left" w:pos="284"/>
              </w:tabs>
              <w:spacing w:before="110" w:after="110"/>
              <w:rPr>
                <w:rFonts w:ascii="Arial" w:hAnsi="Arial" w:cs="Arial"/>
                <w:sz w:val="20"/>
                <w:szCs w:val="20"/>
              </w:rPr>
            </w:pPr>
            <w:r>
              <w:rPr>
                <w:rFonts w:ascii="Arial" w:hAnsi="Arial" w:cs="Arial"/>
                <w:sz w:val="20"/>
                <w:szCs w:val="20"/>
              </w:rPr>
              <w:t>Ship repairer's liability</w:t>
            </w:r>
          </w:p>
          <w:p w14:paraId="33B9EF01" w14:textId="2C496B36" w:rsidR="00662AFB" w:rsidRDefault="00662AFB" w:rsidP="00D61E4C">
            <w:pPr>
              <w:pStyle w:val="NoteToDrafters-ASDEFCON"/>
              <w:rPr>
                <w:rFonts w:cs="Arial"/>
                <w:szCs w:val="20"/>
              </w:rPr>
            </w:pPr>
            <w:r>
              <w:t xml:space="preserve">Note to drafters:  </w:t>
            </w:r>
            <w:r w:rsidRPr="006D45C2">
              <w:t>Liability risks 4, 5, 6 and 7 may be relevant</w:t>
            </w:r>
          </w:p>
        </w:tc>
        <w:tc>
          <w:tcPr>
            <w:tcW w:w="8431" w:type="dxa"/>
            <w:tcBorders>
              <w:top w:val="single" w:sz="8" w:space="0" w:color="000000"/>
              <w:left w:val="single" w:sz="8" w:space="0" w:color="000000"/>
              <w:bottom w:val="single" w:sz="8" w:space="0" w:color="000000"/>
              <w:right w:val="single" w:sz="8" w:space="0" w:color="000000"/>
            </w:tcBorders>
          </w:tcPr>
          <w:p w14:paraId="5A973C05" w14:textId="15E72C8C" w:rsidR="00662AFB" w:rsidRDefault="00662AFB" w:rsidP="00E13B35">
            <w:pPr>
              <w:pStyle w:val="Default"/>
              <w:spacing w:before="110" w:after="110"/>
              <w:rPr>
                <w:rFonts w:ascii="Arial" w:hAnsi="Arial" w:cs="Arial"/>
                <w:sz w:val="20"/>
                <w:szCs w:val="20"/>
              </w:rPr>
            </w:pPr>
            <w:r>
              <w:rPr>
                <w:rFonts w:ascii="Arial" w:hAnsi="Arial" w:cs="Arial"/>
                <w:sz w:val="20"/>
                <w:szCs w:val="20"/>
              </w:rPr>
              <w:t>To insure the contractor against</w:t>
            </w:r>
            <w:r w:rsidR="0016571A">
              <w:rPr>
                <w:rFonts w:ascii="Arial" w:hAnsi="Arial" w:cs="Arial"/>
                <w:sz w:val="20"/>
                <w:szCs w:val="20"/>
              </w:rPr>
              <w:t xml:space="preserve"> its liability for </w:t>
            </w:r>
            <w:r>
              <w:rPr>
                <w:rFonts w:ascii="Arial" w:hAnsi="Arial" w:cs="Arial"/>
                <w:sz w:val="20"/>
                <w:szCs w:val="20"/>
              </w:rPr>
              <w:t xml:space="preserve">loss of or damage to tangible property (other than contractor property) or </w:t>
            </w:r>
            <w:r w:rsidRPr="00BF3810">
              <w:rPr>
                <w:rFonts w:ascii="Arial" w:hAnsi="Arial" w:cs="Arial"/>
                <w:sz w:val="20"/>
                <w:szCs w:val="20"/>
              </w:rPr>
              <w:t>bodily injury, disease, illness or death of</w:t>
            </w:r>
            <w:r>
              <w:rPr>
                <w:rFonts w:ascii="Arial" w:hAnsi="Arial" w:cs="Arial"/>
                <w:sz w:val="20"/>
                <w:szCs w:val="20"/>
              </w:rPr>
              <w:t xml:space="preserve"> any person (other than contractor employees and officers) as a result of the contractor’s </w:t>
            </w:r>
            <w:r w:rsidRPr="00057F29">
              <w:rPr>
                <w:rFonts w:ascii="Arial" w:hAnsi="Arial" w:cs="Arial"/>
                <w:sz w:val="20"/>
                <w:szCs w:val="20"/>
              </w:rPr>
              <w:t xml:space="preserve">ship </w:t>
            </w:r>
            <w:r>
              <w:rPr>
                <w:rFonts w:ascii="Arial" w:hAnsi="Arial" w:cs="Arial"/>
                <w:sz w:val="20"/>
                <w:szCs w:val="20"/>
              </w:rPr>
              <w:t>repair or maintenance</w:t>
            </w:r>
            <w:r w:rsidRPr="00057F29">
              <w:rPr>
                <w:rFonts w:ascii="Arial" w:hAnsi="Arial" w:cs="Arial"/>
                <w:sz w:val="20"/>
                <w:szCs w:val="20"/>
              </w:rPr>
              <w:t xml:space="preserve"> activities</w:t>
            </w:r>
            <w:r>
              <w:rPr>
                <w:rFonts w:ascii="Arial" w:hAnsi="Arial" w:cs="Arial"/>
                <w:sz w:val="20"/>
                <w:szCs w:val="20"/>
              </w:rPr>
              <w:t>.</w:t>
            </w:r>
          </w:p>
          <w:p w14:paraId="76E684D3" w14:textId="77777777" w:rsidR="00662AFB" w:rsidRDefault="00662AFB" w:rsidP="00E13B35">
            <w:pPr>
              <w:pStyle w:val="Default"/>
              <w:spacing w:before="110" w:after="110"/>
              <w:rPr>
                <w:rFonts w:ascii="Arial" w:hAnsi="Arial" w:cs="Arial"/>
                <w:sz w:val="20"/>
                <w:szCs w:val="20"/>
              </w:rPr>
            </w:pPr>
            <w:r>
              <w:rPr>
                <w:rFonts w:ascii="Arial" w:hAnsi="Arial" w:cs="Arial"/>
                <w:sz w:val="20"/>
                <w:szCs w:val="20"/>
              </w:rPr>
              <w:t xml:space="preserve">The Maximum Probable Loss would be </w:t>
            </w:r>
            <w:r w:rsidRPr="005A7355">
              <w:rPr>
                <w:rFonts w:ascii="Arial" w:hAnsi="Arial" w:cs="Arial"/>
                <w:b/>
                <w:sz w:val="20"/>
                <w:szCs w:val="20"/>
              </w:rPr>
              <w:t>[drafter to detail loss scenario]</w:t>
            </w:r>
            <w:r>
              <w:rPr>
                <w:rFonts w:ascii="Arial" w:hAnsi="Arial" w:cs="Arial"/>
                <w:sz w:val="20"/>
                <w:szCs w:val="20"/>
              </w:rPr>
              <w:t>.</w:t>
            </w:r>
          </w:p>
          <w:p w14:paraId="048279E8" w14:textId="11A421EF" w:rsidR="00662AFB" w:rsidRDefault="00662AFB" w:rsidP="00E13B35">
            <w:pPr>
              <w:pStyle w:val="Default"/>
              <w:spacing w:before="110" w:after="110"/>
              <w:rPr>
                <w:rFonts w:ascii="Arial" w:hAnsi="Arial" w:cs="Arial"/>
                <w:sz w:val="20"/>
                <w:szCs w:val="20"/>
              </w:rPr>
            </w:pPr>
            <w:r>
              <w:rPr>
                <w:rFonts w:ascii="Arial" w:hAnsi="Arial" w:cs="Arial"/>
                <w:sz w:val="20"/>
                <w:szCs w:val="20"/>
              </w:rPr>
              <w:t xml:space="preserve">The project proposes an insurance amount that is </w:t>
            </w:r>
            <w:r w:rsidRPr="005A7355">
              <w:rPr>
                <w:rFonts w:ascii="Arial" w:hAnsi="Arial" w:cs="Arial"/>
                <w:b/>
                <w:sz w:val="20"/>
                <w:szCs w:val="20"/>
              </w:rPr>
              <w:t>[equal to/higher than/lower than]</w:t>
            </w:r>
            <w:r>
              <w:rPr>
                <w:rFonts w:ascii="Arial" w:hAnsi="Arial" w:cs="Arial"/>
                <w:sz w:val="20"/>
                <w:szCs w:val="20"/>
              </w:rPr>
              <w:t xml:space="preserve"> the Maximum Probable Loss as </w:t>
            </w:r>
            <w:r w:rsidRPr="005A7355">
              <w:rPr>
                <w:rFonts w:ascii="Arial" w:hAnsi="Arial" w:cs="Arial"/>
                <w:b/>
                <w:sz w:val="20"/>
                <w:szCs w:val="20"/>
              </w:rPr>
              <w:t>[drafter to justify proposed insurance amount]</w:t>
            </w:r>
            <w:r>
              <w:rPr>
                <w:rFonts w:ascii="Arial" w:hAnsi="Arial" w:cs="Arial"/>
                <w:sz w:val="20"/>
                <w:szCs w:val="20"/>
              </w:rPr>
              <w:t>.</w:t>
            </w:r>
          </w:p>
          <w:p w14:paraId="6193C95D" w14:textId="0BBA9B9D" w:rsidR="00662AFB" w:rsidRDefault="00662AFB" w:rsidP="00CA1C9D">
            <w:pPr>
              <w:pStyle w:val="Default"/>
              <w:spacing w:before="110" w:after="110"/>
              <w:rPr>
                <w:rFonts w:ascii="Arial" w:hAnsi="Arial" w:cs="Arial"/>
                <w:sz w:val="20"/>
                <w:szCs w:val="20"/>
              </w:rPr>
            </w:pPr>
            <w:r>
              <w:rPr>
                <w:rFonts w:ascii="Arial" w:hAnsi="Arial" w:cs="Arial"/>
                <w:sz w:val="20"/>
                <w:szCs w:val="20"/>
              </w:rPr>
              <w:t xml:space="preserve">The sublimit for </w:t>
            </w:r>
            <w:r w:rsidR="00D9135D">
              <w:rPr>
                <w:rFonts w:ascii="Arial" w:hAnsi="Arial" w:cs="Arial"/>
                <w:sz w:val="20"/>
                <w:szCs w:val="20"/>
              </w:rPr>
              <w:t xml:space="preserve">loss of or damage to </w:t>
            </w:r>
            <w:r w:rsidRPr="000A0BEF">
              <w:rPr>
                <w:rFonts w:ascii="Arial" w:hAnsi="Arial" w:cs="Arial"/>
                <w:sz w:val="20"/>
                <w:szCs w:val="20"/>
              </w:rPr>
              <w:t>GFF, GFE and</w:t>
            </w:r>
            <w:r>
              <w:rPr>
                <w:rFonts w:ascii="Arial" w:hAnsi="Arial" w:cs="Arial"/>
                <w:sz w:val="20"/>
                <w:szCs w:val="20"/>
              </w:rPr>
              <w:t xml:space="preserve"> </w:t>
            </w:r>
            <w:r w:rsidRPr="000A0BEF">
              <w:rPr>
                <w:rFonts w:ascii="Arial" w:hAnsi="Arial" w:cs="Arial"/>
                <w:sz w:val="20"/>
                <w:szCs w:val="20"/>
              </w:rPr>
              <w:t>any other Commonwealth property in the care, custody</w:t>
            </w:r>
            <w:r>
              <w:rPr>
                <w:rFonts w:ascii="Arial" w:hAnsi="Arial" w:cs="Arial"/>
                <w:sz w:val="20"/>
                <w:szCs w:val="20"/>
              </w:rPr>
              <w:t xml:space="preserve"> or control of the Contractor or its Subcontractors </w:t>
            </w:r>
            <w:r w:rsidR="008C4004" w:rsidRPr="008C4004">
              <w:rPr>
                <w:rFonts w:ascii="Arial" w:hAnsi="Arial" w:cs="Arial"/>
                <w:sz w:val="20"/>
                <w:szCs w:val="20"/>
              </w:rPr>
              <w:t xml:space="preserve">is based on </w:t>
            </w:r>
            <w:r w:rsidR="008C4004" w:rsidRPr="008C4004">
              <w:rPr>
                <w:rFonts w:ascii="Arial" w:hAnsi="Arial" w:cs="Arial"/>
                <w:b/>
                <w:sz w:val="20"/>
                <w:szCs w:val="20"/>
              </w:rPr>
              <w:t>[drafter to detail]</w:t>
            </w:r>
            <w:r>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14:paraId="7DA0F0F0" w14:textId="73B1DE5A" w:rsidR="00662AFB" w:rsidRPr="000A0C23" w:rsidRDefault="00662AFB" w:rsidP="00CA1C9D">
            <w:pPr>
              <w:spacing w:before="110" w:after="110"/>
              <w:jc w:val="left"/>
              <w:rPr>
                <w:rFonts w:cs="Arial"/>
                <w:szCs w:val="20"/>
              </w:rPr>
            </w:pPr>
            <w:r w:rsidRPr="000A0C23">
              <w:rPr>
                <w:rFonts w:cs="Arial"/>
                <w:szCs w:val="20"/>
              </w:rPr>
              <w:t>$Xm</w:t>
            </w:r>
          </w:p>
        </w:tc>
        <w:tc>
          <w:tcPr>
            <w:tcW w:w="0" w:type="auto"/>
            <w:tcBorders>
              <w:top w:val="single" w:sz="8" w:space="0" w:color="000000"/>
              <w:left w:val="single" w:sz="8" w:space="0" w:color="000000"/>
              <w:bottom w:val="single" w:sz="8" w:space="0" w:color="000000"/>
              <w:right w:val="single" w:sz="8" w:space="0" w:color="000000"/>
            </w:tcBorders>
          </w:tcPr>
          <w:p w14:paraId="2CEBB5E8" w14:textId="10F08E62" w:rsidR="00662AFB" w:rsidRDefault="00662AFB" w:rsidP="00E13B35">
            <w:pPr>
              <w:spacing w:before="110" w:after="110"/>
              <w:jc w:val="left"/>
              <w:rPr>
                <w:rFonts w:cs="Arial"/>
                <w:szCs w:val="20"/>
              </w:rPr>
            </w:pPr>
            <w:r w:rsidRPr="000A0C23">
              <w:rPr>
                <w:rFonts w:cs="Arial"/>
                <w:szCs w:val="20"/>
              </w:rPr>
              <w:t>$Xm</w:t>
            </w:r>
            <w:r w:rsidR="0016070A">
              <w:rPr>
                <w:rFonts w:cs="Arial"/>
                <w:szCs w:val="20"/>
              </w:rPr>
              <w:t xml:space="preserve"> </w:t>
            </w:r>
            <w:r w:rsidR="008C4004">
              <w:rPr>
                <w:rFonts w:cs="Arial"/>
                <w:szCs w:val="20"/>
              </w:rPr>
              <w:t>for ship repairer’s liability</w:t>
            </w:r>
          </w:p>
          <w:p w14:paraId="22482691" w14:textId="5FD41E9F" w:rsidR="00662AFB" w:rsidRPr="000A0C23" w:rsidRDefault="00D9135D" w:rsidP="00CA1C9D">
            <w:pPr>
              <w:spacing w:before="110" w:after="110"/>
              <w:jc w:val="left"/>
              <w:rPr>
                <w:rFonts w:cs="Arial"/>
                <w:szCs w:val="20"/>
              </w:rPr>
            </w:pPr>
            <w:r>
              <w:rPr>
                <w:rFonts w:cs="Arial"/>
                <w:szCs w:val="20"/>
              </w:rPr>
              <w:t>$Xm sublimit for Commonwealth Property</w:t>
            </w:r>
          </w:p>
        </w:tc>
      </w:tr>
      <w:tr w:rsidR="00D440AE" w:rsidRPr="00634E17" w14:paraId="6A56D674" w14:textId="77777777" w:rsidTr="009A4FEC">
        <w:trPr>
          <w:cantSplit/>
        </w:trPr>
        <w:tc>
          <w:tcPr>
            <w:tcW w:w="0" w:type="auto"/>
            <w:tcBorders>
              <w:top w:val="single" w:sz="8" w:space="0" w:color="000000"/>
              <w:left w:val="single" w:sz="8" w:space="0" w:color="000000"/>
              <w:bottom w:val="single" w:sz="8" w:space="0" w:color="000000"/>
              <w:right w:val="single" w:sz="8" w:space="0" w:color="000000"/>
            </w:tcBorders>
          </w:tcPr>
          <w:p w14:paraId="2025C198" w14:textId="525DFD7A" w:rsidR="00662AFB" w:rsidRPr="009721E1" w:rsidRDefault="00662AFB" w:rsidP="009721E1">
            <w:pPr>
              <w:pStyle w:val="Default"/>
              <w:tabs>
                <w:tab w:val="left" w:pos="284"/>
              </w:tabs>
              <w:spacing w:before="110" w:after="110"/>
              <w:rPr>
                <w:rFonts w:ascii="Arial" w:hAnsi="Arial" w:cs="Arial"/>
                <w:sz w:val="20"/>
                <w:szCs w:val="20"/>
              </w:rPr>
            </w:pPr>
            <w:r>
              <w:rPr>
                <w:rFonts w:ascii="Arial" w:hAnsi="Arial" w:cs="Arial"/>
                <w:sz w:val="20"/>
                <w:szCs w:val="20"/>
              </w:rPr>
              <w:t>Contract works OR contract works with advanced consequential loss</w:t>
            </w:r>
          </w:p>
        </w:tc>
        <w:tc>
          <w:tcPr>
            <w:tcW w:w="8431" w:type="dxa"/>
            <w:tcBorders>
              <w:top w:val="single" w:sz="8" w:space="0" w:color="000000"/>
              <w:left w:val="single" w:sz="8" w:space="0" w:color="000000"/>
              <w:bottom w:val="single" w:sz="8" w:space="0" w:color="000000"/>
              <w:right w:val="single" w:sz="8" w:space="0" w:color="000000"/>
            </w:tcBorders>
          </w:tcPr>
          <w:p w14:paraId="68D4A09D" w14:textId="67A7A056" w:rsidR="00662AFB" w:rsidRDefault="00662AFB" w:rsidP="00E13B35">
            <w:pPr>
              <w:pStyle w:val="Default"/>
              <w:spacing w:before="110" w:after="110"/>
              <w:rPr>
                <w:rFonts w:ascii="Arial" w:hAnsi="Arial" w:cs="Arial"/>
                <w:sz w:val="20"/>
                <w:szCs w:val="20"/>
              </w:rPr>
            </w:pPr>
            <w:r>
              <w:rPr>
                <w:rFonts w:ascii="Arial" w:hAnsi="Arial" w:cs="Arial"/>
                <w:sz w:val="20"/>
                <w:szCs w:val="20"/>
              </w:rPr>
              <w:t>To insure the contractor against</w:t>
            </w:r>
            <w:r w:rsidRPr="00A20F8C">
              <w:rPr>
                <w:rFonts w:ascii="Arial" w:hAnsi="Arial" w:cs="Arial"/>
                <w:sz w:val="20"/>
                <w:szCs w:val="20"/>
              </w:rPr>
              <w:t xml:space="preserve"> </w:t>
            </w:r>
            <w:r>
              <w:rPr>
                <w:rFonts w:ascii="Arial" w:hAnsi="Arial" w:cs="Arial"/>
                <w:sz w:val="20"/>
                <w:szCs w:val="20"/>
              </w:rPr>
              <w:t>loss of or damage to buildings under construction, and plant and equipment and any other property on site or in transit to and from the site</w:t>
            </w:r>
            <w:r w:rsidRPr="00E27B8F">
              <w:rPr>
                <w:rFonts w:ascii="Arial" w:hAnsi="Arial" w:cs="Arial"/>
                <w:sz w:val="20"/>
                <w:szCs w:val="20"/>
              </w:rPr>
              <w:t xml:space="preserve">. </w:t>
            </w:r>
          </w:p>
          <w:p w14:paraId="5AAC7247" w14:textId="116B7A7C" w:rsidR="00662AFB" w:rsidRPr="00E27B8F" w:rsidRDefault="00662AFB" w:rsidP="00081EF1">
            <w:pPr>
              <w:pStyle w:val="Default"/>
              <w:spacing w:before="110" w:after="110"/>
              <w:rPr>
                <w:rFonts w:ascii="Arial" w:hAnsi="Arial" w:cs="Arial"/>
                <w:sz w:val="20"/>
                <w:szCs w:val="20"/>
              </w:rPr>
            </w:pPr>
            <w:r w:rsidRPr="00E27B8F">
              <w:rPr>
                <w:rFonts w:ascii="Arial" w:hAnsi="Arial" w:cs="Arial"/>
                <w:sz w:val="20"/>
                <w:szCs w:val="20"/>
              </w:rPr>
              <w:t xml:space="preserve">The </w:t>
            </w:r>
            <w:r>
              <w:rPr>
                <w:rFonts w:ascii="Arial" w:hAnsi="Arial" w:cs="Arial"/>
                <w:sz w:val="20"/>
                <w:szCs w:val="20"/>
              </w:rPr>
              <w:t>advanced consequential loss</w:t>
            </w:r>
            <w:r w:rsidRPr="00E27B8F">
              <w:rPr>
                <w:rFonts w:ascii="Arial" w:hAnsi="Arial" w:cs="Arial"/>
                <w:sz w:val="20"/>
                <w:szCs w:val="20"/>
              </w:rPr>
              <w:t xml:space="preserve"> insurance period that will be required by the contract is</w:t>
            </w:r>
            <w:r>
              <w:rPr>
                <w:rFonts w:ascii="Arial" w:hAnsi="Arial" w:cs="Arial"/>
                <w:sz w:val="20"/>
                <w:szCs w:val="20"/>
              </w:rPr>
              <w:t xml:space="preserve"> </w:t>
            </w:r>
            <w:r w:rsidRPr="005A7355">
              <w:rPr>
                <w:rFonts w:ascii="Arial" w:hAnsi="Arial" w:cs="Arial"/>
                <w:b/>
                <w:sz w:val="20"/>
                <w:szCs w:val="20"/>
              </w:rPr>
              <w:t>[XX]</w:t>
            </w:r>
            <w:r>
              <w:rPr>
                <w:rFonts w:ascii="Arial" w:hAnsi="Arial" w:cs="Arial"/>
                <w:sz w:val="20"/>
                <w:szCs w:val="20"/>
              </w:rPr>
              <w:t xml:space="preserve"> w</w:t>
            </w:r>
            <w:r w:rsidRPr="00E27B8F">
              <w:rPr>
                <w:rFonts w:ascii="Arial" w:hAnsi="Arial" w:cs="Arial"/>
                <w:sz w:val="20"/>
                <w:szCs w:val="20"/>
              </w:rPr>
              <w:t>eeks</w:t>
            </w:r>
            <w:r w:rsidR="008C4004" w:rsidRPr="008C4004">
              <w:rPr>
                <w:rFonts w:ascii="Arial" w:hAnsi="Arial" w:cs="Arial"/>
                <w:color w:val="auto"/>
                <w:sz w:val="20"/>
                <w:szCs w:val="20"/>
              </w:rPr>
              <w:t xml:space="preserve"> </w:t>
            </w:r>
            <w:r w:rsidR="008C4004" w:rsidRPr="008C4004">
              <w:rPr>
                <w:rFonts w:ascii="Arial" w:hAnsi="Arial" w:cs="Arial"/>
                <w:sz w:val="20"/>
                <w:szCs w:val="20"/>
              </w:rPr>
              <w:t xml:space="preserve">based on </w:t>
            </w:r>
            <w:r w:rsidR="008C4004" w:rsidRPr="008C4004">
              <w:rPr>
                <w:rFonts w:ascii="Arial" w:hAnsi="Arial" w:cs="Arial"/>
                <w:b/>
                <w:sz w:val="20"/>
                <w:szCs w:val="20"/>
              </w:rPr>
              <w:t xml:space="preserve">[drafter to justify proposed weeks required to </w:t>
            </w:r>
            <w:r w:rsidR="00081EF1">
              <w:rPr>
                <w:rFonts w:ascii="Arial" w:hAnsi="Arial" w:cs="Arial"/>
                <w:b/>
                <w:sz w:val="20"/>
                <w:szCs w:val="20"/>
              </w:rPr>
              <w:t>cover delay in completing the works</w:t>
            </w:r>
            <w:r w:rsidR="008C4004" w:rsidRPr="008C4004">
              <w:rPr>
                <w:rFonts w:ascii="Arial" w:hAnsi="Arial" w:cs="Arial"/>
                <w:b/>
                <w:sz w:val="20"/>
                <w:szCs w:val="20"/>
              </w:rPr>
              <w:t>]</w:t>
            </w:r>
            <w:r w:rsidRPr="00E27B8F">
              <w:rPr>
                <w:rFonts w:ascii="Arial" w:hAnsi="Arial" w:cs="Arial"/>
                <w:sz w:val="20"/>
                <w:szCs w:val="20"/>
              </w:rPr>
              <w:t>.</w:t>
            </w:r>
          </w:p>
        </w:tc>
        <w:tc>
          <w:tcPr>
            <w:tcW w:w="0" w:type="auto"/>
            <w:tcBorders>
              <w:top w:val="single" w:sz="8" w:space="0" w:color="000000"/>
              <w:left w:val="single" w:sz="8" w:space="0" w:color="000000"/>
              <w:bottom w:val="single" w:sz="8" w:space="0" w:color="000000"/>
              <w:right w:val="single" w:sz="8" w:space="0" w:color="000000"/>
            </w:tcBorders>
            <w:shd w:val="pct15" w:color="auto" w:fill="auto"/>
          </w:tcPr>
          <w:p w14:paraId="24A8FC9D" w14:textId="6BB533F2" w:rsidR="00662AFB" w:rsidRPr="00634E17" w:rsidRDefault="00662AFB" w:rsidP="00CA1C9D">
            <w:pPr>
              <w:pStyle w:val="Default"/>
              <w:spacing w:before="110" w:after="110"/>
              <w:rPr>
                <w:rFonts w:ascii="Arial" w:hAnsi="Arial" w:cs="Arial"/>
                <w:sz w:val="20"/>
                <w:szCs w:val="20"/>
              </w:rPr>
            </w:pPr>
            <w:r>
              <w:rPr>
                <w:rFonts w:ascii="Arial" w:hAnsi="Arial" w:cs="Arial"/>
                <w:sz w:val="20"/>
                <w:szCs w:val="20"/>
              </w:rPr>
              <w:t>No insurance limit required to be specified</w:t>
            </w:r>
          </w:p>
        </w:tc>
        <w:tc>
          <w:tcPr>
            <w:tcW w:w="0" w:type="auto"/>
            <w:tcBorders>
              <w:top w:val="single" w:sz="8" w:space="0" w:color="000000"/>
              <w:left w:val="single" w:sz="8" w:space="0" w:color="000000"/>
              <w:bottom w:val="single" w:sz="8" w:space="0" w:color="000000"/>
              <w:right w:val="single" w:sz="8" w:space="0" w:color="000000"/>
            </w:tcBorders>
            <w:shd w:val="pct15" w:color="auto" w:fill="auto"/>
          </w:tcPr>
          <w:p w14:paraId="01EFDF51" w14:textId="2ED60846" w:rsidR="00662AFB" w:rsidRPr="00634E17" w:rsidRDefault="00662AFB" w:rsidP="00CA1C9D">
            <w:pPr>
              <w:pStyle w:val="Default"/>
              <w:spacing w:before="110" w:after="110"/>
              <w:rPr>
                <w:rFonts w:ascii="Arial" w:hAnsi="Arial" w:cs="Arial"/>
                <w:sz w:val="20"/>
                <w:szCs w:val="20"/>
              </w:rPr>
            </w:pPr>
            <w:r>
              <w:rPr>
                <w:rFonts w:ascii="Arial" w:hAnsi="Arial" w:cs="Arial"/>
                <w:sz w:val="20"/>
                <w:szCs w:val="20"/>
              </w:rPr>
              <w:t>No insurance limit required to be specified</w:t>
            </w:r>
          </w:p>
        </w:tc>
      </w:tr>
      <w:tr w:rsidR="00D440AE" w:rsidRPr="00634E17" w14:paraId="289F802C" w14:textId="77777777" w:rsidTr="009A4FEC">
        <w:trPr>
          <w:cantSplit/>
        </w:trPr>
        <w:tc>
          <w:tcPr>
            <w:tcW w:w="0" w:type="auto"/>
            <w:tcBorders>
              <w:top w:val="single" w:sz="8" w:space="0" w:color="000000"/>
              <w:left w:val="single" w:sz="8" w:space="0" w:color="000000"/>
              <w:bottom w:val="single" w:sz="8" w:space="0" w:color="000000"/>
              <w:right w:val="single" w:sz="8" w:space="0" w:color="000000"/>
            </w:tcBorders>
          </w:tcPr>
          <w:p w14:paraId="206E0A8B" w14:textId="2898CC76" w:rsidR="00662AFB" w:rsidRDefault="00662AFB" w:rsidP="00CA1C9D">
            <w:pPr>
              <w:pStyle w:val="Default"/>
              <w:tabs>
                <w:tab w:val="left" w:pos="284"/>
              </w:tabs>
              <w:spacing w:before="110" w:after="110"/>
              <w:rPr>
                <w:rFonts w:ascii="Arial" w:hAnsi="Arial" w:cs="Arial"/>
                <w:sz w:val="20"/>
                <w:szCs w:val="20"/>
              </w:rPr>
            </w:pPr>
            <w:r>
              <w:rPr>
                <w:rFonts w:ascii="Arial" w:hAnsi="Arial" w:cs="Arial"/>
                <w:sz w:val="20"/>
                <w:szCs w:val="20"/>
              </w:rPr>
              <w:lastRenderedPageBreak/>
              <w:t>[Project specific insurances]</w:t>
            </w:r>
          </w:p>
        </w:tc>
        <w:tc>
          <w:tcPr>
            <w:tcW w:w="8431" w:type="dxa"/>
            <w:tcBorders>
              <w:top w:val="single" w:sz="8" w:space="0" w:color="000000"/>
              <w:left w:val="single" w:sz="8" w:space="0" w:color="000000"/>
              <w:bottom w:val="single" w:sz="8" w:space="0" w:color="000000"/>
              <w:right w:val="single" w:sz="8" w:space="0" w:color="000000"/>
            </w:tcBorders>
          </w:tcPr>
          <w:p w14:paraId="5B381CA6" w14:textId="77777777" w:rsidR="00662AFB" w:rsidRDefault="00662AFB" w:rsidP="00E13B35">
            <w:pPr>
              <w:pStyle w:val="Default"/>
              <w:spacing w:before="110" w:after="110"/>
              <w:rPr>
                <w:rFonts w:ascii="Arial" w:hAnsi="Arial" w:cs="Arial"/>
                <w:sz w:val="20"/>
                <w:szCs w:val="20"/>
              </w:rPr>
            </w:pPr>
            <w:r>
              <w:rPr>
                <w:rFonts w:ascii="Arial" w:hAnsi="Arial" w:cs="Arial"/>
                <w:sz w:val="20"/>
                <w:szCs w:val="20"/>
              </w:rPr>
              <w:t>To insure the contractor against</w:t>
            </w:r>
            <w:r w:rsidRPr="00A20F8C">
              <w:rPr>
                <w:rFonts w:ascii="Arial" w:hAnsi="Arial" w:cs="Arial"/>
                <w:sz w:val="20"/>
                <w:szCs w:val="20"/>
              </w:rPr>
              <w:t xml:space="preserve"> the consequences of</w:t>
            </w:r>
            <w:r>
              <w:rPr>
                <w:rFonts w:ascii="Arial" w:hAnsi="Arial" w:cs="Arial"/>
                <w:sz w:val="20"/>
                <w:szCs w:val="20"/>
              </w:rPr>
              <w:t xml:space="preserve"> liability </w:t>
            </w:r>
            <w:r w:rsidRPr="0021063C">
              <w:rPr>
                <w:rFonts w:ascii="Arial" w:hAnsi="Arial" w:cs="Arial"/>
                <w:b/>
                <w:sz w:val="20"/>
                <w:szCs w:val="20"/>
              </w:rPr>
              <w:t>risk</w:t>
            </w:r>
            <w:r w:rsidRPr="00E81DA1">
              <w:rPr>
                <w:rFonts w:ascii="Arial" w:hAnsi="Arial" w:cs="Arial"/>
                <w:b/>
                <w:sz w:val="20"/>
                <w:szCs w:val="20"/>
              </w:rPr>
              <w:t xml:space="preserve"> 10 </w:t>
            </w:r>
            <w:r>
              <w:rPr>
                <w:rFonts w:ascii="Arial" w:hAnsi="Arial" w:cs="Arial"/>
                <w:sz w:val="20"/>
                <w:szCs w:val="20"/>
              </w:rPr>
              <w:t>in Table 1 above.</w:t>
            </w:r>
          </w:p>
          <w:p w14:paraId="12AFE0AD" w14:textId="77777777" w:rsidR="00662AFB" w:rsidRDefault="00662AFB" w:rsidP="00E13B35">
            <w:pPr>
              <w:pStyle w:val="Default"/>
              <w:spacing w:before="110" w:after="110"/>
              <w:rPr>
                <w:rFonts w:ascii="Arial" w:hAnsi="Arial" w:cs="Arial"/>
                <w:sz w:val="20"/>
                <w:szCs w:val="20"/>
              </w:rPr>
            </w:pPr>
            <w:r>
              <w:rPr>
                <w:rFonts w:ascii="Arial" w:hAnsi="Arial" w:cs="Arial"/>
                <w:sz w:val="20"/>
                <w:szCs w:val="20"/>
              </w:rPr>
              <w:t xml:space="preserve">The Maximum Probable Loss would be </w:t>
            </w:r>
            <w:r w:rsidRPr="005A7355">
              <w:rPr>
                <w:rFonts w:ascii="Arial" w:hAnsi="Arial" w:cs="Arial"/>
                <w:b/>
                <w:sz w:val="20"/>
                <w:szCs w:val="20"/>
              </w:rPr>
              <w:t>[drafter to detail loss scenario]</w:t>
            </w:r>
            <w:r>
              <w:rPr>
                <w:rFonts w:ascii="Arial" w:hAnsi="Arial" w:cs="Arial"/>
                <w:sz w:val="20"/>
                <w:szCs w:val="20"/>
              </w:rPr>
              <w:t>.</w:t>
            </w:r>
          </w:p>
          <w:p w14:paraId="48D26EBF" w14:textId="64A48B5C" w:rsidR="00662AFB" w:rsidRPr="00E27B8F" w:rsidRDefault="00662AFB" w:rsidP="00D9135D">
            <w:pPr>
              <w:pStyle w:val="Default"/>
              <w:spacing w:before="110" w:after="110"/>
              <w:rPr>
                <w:rFonts w:ascii="Arial" w:hAnsi="Arial" w:cs="Arial"/>
                <w:sz w:val="20"/>
                <w:szCs w:val="20"/>
              </w:rPr>
            </w:pPr>
            <w:r>
              <w:rPr>
                <w:rFonts w:ascii="Arial" w:hAnsi="Arial" w:cs="Arial"/>
                <w:sz w:val="20"/>
                <w:szCs w:val="20"/>
              </w:rPr>
              <w:t xml:space="preserve">The project proposes an insurance amount that is </w:t>
            </w:r>
            <w:r w:rsidRPr="005A7355">
              <w:rPr>
                <w:rFonts w:ascii="Arial" w:hAnsi="Arial" w:cs="Arial"/>
                <w:b/>
                <w:sz w:val="20"/>
                <w:szCs w:val="20"/>
              </w:rPr>
              <w:t>[equal to/higher than/lower than]</w:t>
            </w:r>
            <w:r>
              <w:rPr>
                <w:rFonts w:ascii="Arial" w:hAnsi="Arial" w:cs="Arial"/>
                <w:sz w:val="20"/>
                <w:szCs w:val="20"/>
              </w:rPr>
              <w:t xml:space="preserve"> the Maximum Probable Loss as </w:t>
            </w:r>
            <w:r w:rsidRPr="005A7355">
              <w:rPr>
                <w:rFonts w:ascii="Arial" w:hAnsi="Arial" w:cs="Arial"/>
                <w:b/>
                <w:sz w:val="20"/>
                <w:szCs w:val="20"/>
              </w:rPr>
              <w:t>[drafter to justify proposed insurance amount]</w:t>
            </w:r>
            <w:r>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14:paraId="4BEF7C6A" w14:textId="1B25C386" w:rsidR="00662AFB" w:rsidRDefault="00662AFB" w:rsidP="00CA1C9D">
            <w:pPr>
              <w:spacing w:before="110" w:after="110"/>
              <w:jc w:val="left"/>
            </w:pPr>
            <w:r w:rsidRPr="000A0C23">
              <w:rPr>
                <w:rFonts w:cs="Arial"/>
                <w:szCs w:val="20"/>
              </w:rPr>
              <w:t>$Xm</w:t>
            </w:r>
          </w:p>
        </w:tc>
        <w:tc>
          <w:tcPr>
            <w:tcW w:w="0" w:type="auto"/>
            <w:tcBorders>
              <w:top w:val="single" w:sz="8" w:space="0" w:color="000000"/>
              <w:left w:val="single" w:sz="8" w:space="0" w:color="000000"/>
              <w:bottom w:val="single" w:sz="8" w:space="0" w:color="000000"/>
              <w:right w:val="single" w:sz="8" w:space="0" w:color="000000"/>
            </w:tcBorders>
          </w:tcPr>
          <w:p w14:paraId="3D84BEFB" w14:textId="065C0443" w:rsidR="00662AFB" w:rsidRDefault="00662AFB" w:rsidP="00CA1C9D">
            <w:pPr>
              <w:spacing w:before="110" w:after="110"/>
              <w:jc w:val="left"/>
            </w:pPr>
            <w:r w:rsidRPr="000A0C23">
              <w:rPr>
                <w:rFonts w:cs="Arial"/>
                <w:szCs w:val="20"/>
              </w:rPr>
              <w:t>$Xm</w:t>
            </w:r>
          </w:p>
        </w:tc>
      </w:tr>
    </w:tbl>
    <w:p w14:paraId="0A04DB6C" w14:textId="77777777" w:rsidR="00CA1C9D" w:rsidRDefault="00CA1C9D" w:rsidP="00CA1C9D"/>
    <w:p w14:paraId="776283FD" w14:textId="77777777" w:rsidR="00CA1C9D" w:rsidRDefault="00CA1C9D" w:rsidP="00CA1C9D"/>
    <w:p w14:paraId="196E853C" w14:textId="77777777" w:rsidR="00CA1C9D" w:rsidRDefault="00CA1C9D" w:rsidP="00CA1C9D"/>
    <w:p w14:paraId="3F4EAB97" w14:textId="66AF8366" w:rsidR="00E70CD9" w:rsidRPr="002A3DE0" w:rsidRDefault="00593BBB" w:rsidP="00E70CD9">
      <w:pPr>
        <w:spacing w:after="0"/>
        <w:rPr>
          <w:rFonts w:cs="Arial"/>
        </w:rPr>
      </w:pPr>
      <w:r w:rsidRPr="009A0A18">
        <w:br w:type="page"/>
      </w:r>
      <w:r w:rsidR="00D14727">
        <w:rPr>
          <w:rFonts w:cs="Arial"/>
          <w:sz w:val="28"/>
          <w:szCs w:val="28"/>
        </w:rPr>
        <w:lastRenderedPageBreak/>
        <w:t>ASSESSMENT</w:t>
      </w:r>
      <w:r w:rsidR="00D14727" w:rsidRPr="002A3DE0">
        <w:rPr>
          <w:rFonts w:cs="Arial"/>
          <w:sz w:val="28"/>
          <w:szCs w:val="28"/>
        </w:rPr>
        <w:t xml:space="preserve"> </w:t>
      </w:r>
      <w:r w:rsidR="00E70CD9" w:rsidRPr="002A3DE0">
        <w:rPr>
          <w:rFonts w:cs="Arial"/>
          <w:sz w:val="28"/>
          <w:szCs w:val="28"/>
        </w:rPr>
        <w:t>RECORD SHEET</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4099"/>
        <w:gridCol w:w="3500"/>
        <w:gridCol w:w="4700"/>
      </w:tblGrid>
      <w:tr w:rsidR="00E70CD9" w:rsidRPr="00D27303" w14:paraId="12024261" w14:textId="77777777" w:rsidTr="00E70CD9">
        <w:tc>
          <w:tcPr>
            <w:tcW w:w="2209" w:type="dxa"/>
            <w:shd w:val="clear" w:color="auto" w:fill="CCCCCC"/>
            <w:vAlign w:val="center"/>
          </w:tcPr>
          <w:p w14:paraId="48199858" w14:textId="77777777" w:rsidR="00E70CD9" w:rsidRPr="00D27303" w:rsidRDefault="00E70CD9" w:rsidP="00AE174A">
            <w:pPr>
              <w:spacing w:before="110" w:after="110"/>
              <w:jc w:val="center"/>
              <w:rPr>
                <w:rFonts w:cs="Arial"/>
                <w:b/>
                <w:sz w:val="22"/>
              </w:rPr>
            </w:pPr>
            <w:r w:rsidRPr="00D27303">
              <w:rPr>
                <w:rFonts w:cs="Arial"/>
                <w:b/>
                <w:sz w:val="22"/>
              </w:rPr>
              <w:t>Date</w:t>
            </w:r>
          </w:p>
        </w:tc>
        <w:tc>
          <w:tcPr>
            <w:tcW w:w="4099" w:type="dxa"/>
            <w:shd w:val="clear" w:color="auto" w:fill="CCCCCC"/>
            <w:vAlign w:val="center"/>
          </w:tcPr>
          <w:p w14:paraId="18F655AB" w14:textId="77777777" w:rsidR="00E70CD9" w:rsidRPr="00D27303" w:rsidRDefault="00E70CD9" w:rsidP="00AE174A">
            <w:pPr>
              <w:spacing w:before="110" w:after="110"/>
              <w:jc w:val="center"/>
              <w:rPr>
                <w:rFonts w:cs="Arial"/>
                <w:b/>
                <w:sz w:val="22"/>
              </w:rPr>
            </w:pPr>
            <w:r w:rsidRPr="00D27303">
              <w:rPr>
                <w:rFonts w:cs="Arial"/>
                <w:b/>
                <w:sz w:val="22"/>
              </w:rPr>
              <w:t>Version</w:t>
            </w:r>
          </w:p>
        </w:tc>
        <w:tc>
          <w:tcPr>
            <w:tcW w:w="3500" w:type="dxa"/>
            <w:shd w:val="clear" w:color="auto" w:fill="CCCCCC"/>
            <w:vAlign w:val="center"/>
          </w:tcPr>
          <w:p w14:paraId="3D41319A" w14:textId="77777777" w:rsidR="00E70CD9" w:rsidRPr="00D27303" w:rsidRDefault="00E70CD9" w:rsidP="00AE174A">
            <w:pPr>
              <w:spacing w:before="110" w:after="110"/>
              <w:jc w:val="center"/>
              <w:rPr>
                <w:rFonts w:cs="Arial"/>
                <w:b/>
                <w:sz w:val="22"/>
              </w:rPr>
            </w:pPr>
            <w:r w:rsidRPr="00D27303">
              <w:rPr>
                <w:rFonts w:cs="Arial"/>
                <w:b/>
                <w:sz w:val="22"/>
              </w:rPr>
              <w:t>Author</w:t>
            </w:r>
          </w:p>
        </w:tc>
        <w:tc>
          <w:tcPr>
            <w:tcW w:w="4700" w:type="dxa"/>
            <w:shd w:val="clear" w:color="auto" w:fill="CCCCCC"/>
            <w:vAlign w:val="center"/>
          </w:tcPr>
          <w:p w14:paraId="0918A86E" w14:textId="7650DD1B" w:rsidR="00E70CD9" w:rsidRPr="00D27303" w:rsidRDefault="00D14727" w:rsidP="00AE174A">
            <w:pPr>
              <w:spacing w:before="110" w:after="110"/>
              <w:jc w:val="center"/>
              <w:rPr>
                <w:rFonts w:cs="Arial"/>
                <w:b/>
                <w:sz w:val="22"/>
              </w:rPr>
            </w:pPr>
            <w:r>
              <w:rPr>
                <w:rFonts w:cs="Arial"/>
                <w:b/>
                <w:sz w:val="22"/>
              </w:rPr>
              <w:t>Major Change Summary</w:t>
            </w:r>
          </w:p>
        </w:tc>
      </w:tr>
      <w:tr w:rsidR="00E70CD9" w:rsidRPr="00D27303" w14:paraId="00D819ED" w14:textId="77777777" w:rsidTr="00E70CD9">
        <w:tc>
          <w:tcPr>
            <w:tcW w:w="2209" w:type="dxa"/>
            <w:shd w:val="clear" w:color="auto" w:fill="auto"/>
            <w:vAlign w:val="center"/>
          </w:tcPr>
          <w:p w14:paraId="7BB94279" w14:textId="77777777" w:rsidR="00E70CD9" w:rsidRPr="00D27303" w:rsidRDefault="00E70CD9" w:rsidP="00AE174A">
            <w:pPr>
              <w:spacing w:before="110" w:after="110"/>
              <w:rPr>
                <w:rFonts w:cs="Arial"/>
                <w:sz w:val="22"/>
              </w:rPr>
            </w:pPr>
          </w:p>
        </w:tc>
        <w:tc>
          <w:tcPr>
            <w:tcW w:w="4099" w:type="dxa"/>
            <w:shd w:val="clear" w:color="auto" w:fill="auto"/>
            <w:vAlign w:val="center"/>
          </w:tcPr>
          <w:p w14:paraId="0D3827DA" w14:textId="77777777" w:rsidR="00E70CD9" w:rsidRPr="00D27303" w:rsidRDefault="00E70CD9" w:rsidP="00AE174A">
            <w:pPr>
              <w:spacing w:before="110" w:after="110"/>
              <w:jc w:val="center"/>
              <w:rPr>
                <w:rFonts w:cs="Arial"/>
                <w:sz w:val="22"/>
              </w:rPr>
            </w:pPr>
            <w:r>
              <w:rPr>
                <w:rFonts w:cs="Arial"/>
                <w:sz w:val="22"/>
              </w:rPr>
              <w:t>Acquisition Strategy</w:t>
            </w:r>
          </w:p>
        </w:tc>
        <w:tc>
          <w:tcPr>
            <w:tcW w:w="3500" w:type="dxa"/>
            <w:shd w:val="clear" w:color="auto" w:fill="auto"/>
            <w:vAlign w:val="center"/>
          </w:tcPr>
          <w:p w14:paraId="3E5D8E78" w14:textId="77777777" w:rsidR="00E70CD9" w:rsidRPr="00D27303" w:rsidRDefault="00E70CD9" w:rsidP="00AE174A">
            <w:pPr>
              <w:spacing w:before="110" w:after="110"/>
              <w:rPr>
                <w:rFonts w:cs="Arial"/>
                <w:sz w:val="22"/>
              </w:rPr>
            </w:pPr>
          </w:p>
        </w:tc>
        <w:tc>
          <w:tcPr>
            <w:tcW w:w="4700" w:type="dxa"/>
            <w:shd w:val="clear" w:color="auto" w:fill="auto"/>
            <w:vAlign w:val="center"/>
          </w:tcPr>
          <w:p w14:paraId="262F54E2" w14:textId="77777777" w:rsidR="00E70CD9" w:rsidRPr="00D27303" w:rsidRDefault="00E70CD9" w:rsidP="00AE174A">
            <w:pPr>
              <w:spacing w:before="110" w:after="110"/>
              <w:rPr>
                <w:rFonts w:cs="Arial"/>
                <w:sz w:val="22"/>
              </w:rPr>
            </w:pPr>
          </w:p>
        </w:tc>
      </w:tr>
      <w:tr w:rsidR="00E70CD9" w:rsidRPr="00D27303" w14:paraId="3FA5F026" w14:textId="77777777" w:rsidTr="00E70CD9">
        <w:tc>
          <w:tcPr>
            <w:tcW w:w="2209" w:type="dxa"/>
            <w:shd w:val="clear" w:color="auto" w:fill="auto"/>
            <w:vAlign w:val="center"/>
          </w:tcPr>
          <w:p w14:paraId="7D6758EF" w14:textId="77777777" w:rsidR="00E70CD9" w:rsidRPr="00D27303" w:rsidRDefault="00E70CD9" w:rsidP="00AE174A">
            <w:pPr>
              <w:spacing w:before="110" w:after="110"/>
              <w:rPr>
                <w:rFonts w:cs="Arial"/>
                <w:sz w:val="22"/>
              </w:rPr>
            </w:pPr>
          </w:p>
        </w:tc>
        <w:tc>
          <w:tcPr>
            <w:tcW w:w="4099" w:type="dxa"/>
            <w:shd w:val="clear" w:color="auto" w:fill="auto"/>
            <w:vAlign w:val="center"/>
          </w:tcPr>
          <w:p w14:paraId="00CBBFBE" w14:textId="77777777" w:rsidR="00E70CD9" w:rsidRPr="00D27303" w:rsidRDefault="00E70CD9" w:rsidP="00AE174A">
            <w:pPr>
              <w:spacing w:before="110" w:after="110"/>
              <w:jc w:val="center"/>
              <w:rPr>
                <w:rFonts w:cs="Arial"/>
                <w:sz w:val="22"/>
              </w:rPr>
            </w:pPr>
            <w:r>
              <w:rPr>
                <w:rFonts w:cs="Arial"/>
                <w:sz w:val="22"/>
              </w:rPr>
              <w:t>Endorsement to Proceed</w:t>
            </w:r>
          </w:p>
        </w:tc>
        <w:tc>
          <w:tcPr>
            <w:tcW w:w="3500" w:type="dxa"/>
            <w:shd w:val="clear" w:color="auto" w:fill="auto"/>
            <w:vAlign w:val="center"/>
          </w:tcPr>
          <w:p w14:paraId="23877EDE" w14:textId="77777777" w:rsidR="00E70CD9" w:rsidRPr="00D27303" w:rsidRDefault="00E70CD9" w:rsidP="00AE174A">
            <w:pPr>
              <w:spacing w:before="110" w:after="110"/>
              <w:rPr>
                <w:rFonts w:cs="Arial"/>
                <w:sz w:val="22"/>
              </w:rPr>
            </w:pPr>
          </w:p>
        </w:tc>
        <w:tc>
          <w:tcPr>
            <w:tcW w:w="4700" w:type="dxa"/>
            <w:shd w:val="clear" w:color="auto" w:fill="auto"/>
            <w:vAlign w:val="center"/>
          </w:tcPr>
          <w:p w14:paraId="201ACFE3" w14:textId="77777777" w:rsidR="00E70CD9" w:rsidRPr="00D27303" w:rsidRDefault="00E70CD9" w:rsidP="00AE174A">
            <w:pPr>
              <w:spacing w:before="110" w:after="110"/>
              <w:rPr>
                <w:rFonts w:cs="Arial"/>
                <w:sz w:val="22"/>
              </w:rPr>
            </w:pPr>
          </w:p>
        </w:tc>
      </w:tr>
      <w:tr w:rsidR="00E70CD9" w:rsidRPr="00D27303" w14:paraId="696A7403" w14:textId="77777777" w:rsidTr="00E70CD9">
        <w:tc>
          <w:tcPr>
            <w:tcW w:w="2209" w:type="dxa"/>
            <w:shd w:val="clear" w:color="auto" w:fill="auto"/>
            <w:vAlign w:val="center"/>
          </w:tcPr>
          <w:p w14:paraId="5BFAB83C" w14:textId="77777777" w:rsidR="00E70CD9" w:rsidRPr="00D27303" w:rsidRDefault="00E70CD9" w:rsidP="00AE174A">
            <w:pPr>
              <w:spacing w:before="110" w:after="110"/>
              <w:rPr>
                <w:rFonts w:cs="Arial"/>
                <w:sz w:val="22"/>
              </w:rPr>
            </w:pPr>
          </w:p>
        </w:tc>
        <w:tc>
          <w:tcPr>
            <w:tcW w:w="4099" w:type="dxa"/>
            <w:shd w:val="clear" w:color="auto" w:fill="auto"/>
            <w:vAlign w:val="center"/>
          </w:tcPr>
          <w:p w14:paraId="3C7AB076" w14:textId="77777777" w:rsidR="00E70CD9" w:rsidRPr="00D27303" w:rsidRDefault="00E70CD9" w:rsidP="00AE174A">
            <w:pPr>
              <w:spacing w:before="110" w:after="110"/>
              <w:jc w:val="center"/>
              <w:rPr>
                <w:rFonts w:cs="Arial"/>
                <w:sz w:val="22"/>
              </w:rPr>
            </w:pPr>
            <w:r>
              <w:rPr>
                <w:rFonts w:cs="Arial"/>
                <w:sz w:val="22"/>
              </w:rPr>
              <w:t>Contract Negotiation Directive</w:t>
            </w:r>
          </w:p>
        </w:tc>
        <w:tc>
          <w:tcPr>
            <w:tcW w:w="3500" w:type="dxa"/>
            <w:shd w:val="clear" w:color="auto" w:fill="auto"/>
            <w:vAlign w:val="center"/>
          </w:tcPr>
          <w:p w14:paraId="49D07077" w14:textId="77777777" w:rsidR="00E70CD9" w:rsidRPr="00D27303" w:rsidRDefault="00E70CD9" w:rsidP="00AE174A">
            <w:pPr>
              <w:spacing w:before="110" w:after="110"/>
              <w:rPr>
                <w:rFonts w:cs="Arial"/>
                <w:sz w:val="22"/>
              </w:rPr>
            </w:pPr>
          </w:p>
        </w:tc>
        <w:tc>
          <w:tcPr>
            <w:tcW w:w="4700" w:type="dxa"/>
            <w:shd w:val="clear" w:color="auto" w:fill="auto"/>
            <w:vAlign w:val="center"/>
          </w:tcPr>
          <w:p w14:paraId="5C7757A6" w14:textId="77777777" w:rsidR="00E70CD9" w:rsidRPr="00D27303" w:rsidRDefault="00E70CD9" w:rsidP="00AE174A">
            <w:pPr>
              <w:spacing w:before="110" w:after="110"/>
              <w:rPr>
                <w:rFonts w:cs="Arial"/>
                <w:sz w:val="22"/>
              </w:rPr>
            </w:pPr>
          </w:p>
        </w:tc>
      </w:tr>
      <w:tr w:rsidR="00E70CD9" w:rsidRPr="00D27303" w14:paraId="540DA1B6" w14:textId="77777777" w:rsidTr="00E70CD9">
        <w:tc>
          <w:tcPr>
            <w:tcW w:w="2209" w:type="dxa"/>
            <w:shd w:val="clear" w:color="auto" w:fill="auto"/>
            <w:vAlign w:val="center"/>
          </w:tcPr>
          <w:p w14:paraId="33F188D5" w14:textId="77777777" w:rsidR="00E70CD9" w:rsidRPr="00D27303" w:rsidRDefault="00E70CD9" w:rsidP="00AE174A">
            <w:pPr>
              <w:spacing w:before="110" w:after="110"/>
              <w:rPr>
                <w:rFonts w:cs="Arial"/>
                <w:sz w:val="22"/>
              </w:rPr>
            </w:pPr>
          </w:p>
        </w:tc>
        <w:tc>
          <w:tcPr>
            <w:tcW w:w="4099" w:type="dxa"/>
            <w:shd w:val="clear" w:color="auto" w:fill="auto"/>
            <w:vAlign w:val="center"/>
          </w:tcPr>
          <w:p w14:paraId="541B22E0" w14:textId="77777777" w:rsidR="00E70CD9" w:rsidRPr="00D27303" w:rsidRDefault="00E70CD9" w:rsidP="00AE174A">
            <w:pPr>
              <w:spacing w:before="110" w:after="110"/>
              <w:jc w:val="center"/>
              <w:rPr>
                <w:rFonts w:cs="Arial"/>
                <w:sz w:val="22"/>
              </w:rPr>
            </w:pPr>
            <w:r>
              <w:rPr>
                <w:rFonts w:cs="Arial"/>
                <w:sz w:val="22"/>
              </w:rPr>
              <w:t>Section 23</w:t>
            </w:r>
          </w:p>
        </w:tc>
        <w:tc>
          <w:tcPr>
            <w:tcW w:w="3500" w:type="dxa"/>
            <w:shd w:val="clear" w:color="auto" w:fill="auto"/>
            <w:vAlign w:val="center"/>
          </w:tcPr>
          <w:p w14:paraId="3015E0DD" w14:textId="77777777" w:rsidR="00E70CD9" w:rsidRPr="00D27303" w:rsidRDefault="00E70CD9" w:rsidP="00AE174A">
            <w:pPr>
              <w:spacing w:before="110" w:after="110"/>
              <w:rPr>
                <w:rFonts w:cs="Arial"/>
                <w:sz w:val="22"/>
              </w:rPr>
            </w:pPr>
          </w:p>
        </w:tc>
        <w:tc>
          <w:tcPr>
            <w:tcW w:w="4700" w:type="dxa"/>
            <w:shd w:val="clear" w:color="auto" w:fill="auto"/>
            <w:vAlign w:val="center"/>
          </w:tcPr>
          <w:p w14:paraId="526050EE" w14:textId="77777777" w:rsidR="00E70CD9" w:rsidRPr="00D27303" w:rsidRDefault="00E70CD9" w:rsidP="00AE174A">
            <w:pPr>
              <w:spacing w:before="110" w:after="110"/>
              <w:rPr>
                <w:rFonts w:cs="Arial"/>
                <w:sz w:val="22"/>
              </w:rPr>
            </w:pPr>
          </w:p>
        </w:tc>
      </w:tr>
      <w:tr w:rsidR="00E70CD9" w:rsidRPr="00D27303" w14:paraId="1FAD948C" w14:textId="77777777" w:rsidTr="00E70CD9">
        <w:tc>
          <w:tcPr>
            <w:tcW w:w="2209" w:type="dxa"/>
            <w:shd w:val="clear" w:color="auto" w:fill="auto"/>
            <w:vAlign w:val="center"/>
          </w:tcPr>
          <w:p w14:paraId="2A01A87F" w14:textId="77777777" w:rsidR="00E70CD9" w:rsidRPr="00D27303" w:rsidRDefault="00E70CD9" w:rsidP="00AE174A">
            <w:pPr>
              <w:spacing w:before="110" w:after="110"/>
              <w:rPr>
                <w:rFonts w:cs="Arial"/>
                <w:sz w:val="22"/>
              </w:rPr>
            </w:pPr>
          </w:p>
        </w:tc>
        <w:tc>
          <w:tcPr>
            <w:tcW w:w="4099" w:type="dxa"/>
            <w:shd w:val="clear" w:color="auto" w:fill="auto"/>
            <w:vAlign w:val="center"/>
          </w:tcPr>
          <w:p w14:paraId="1CA9E0C3" w14:textId="77777777" w:rsidR="00E70CD9" w:rsidRPr="00D27303" w:rsidRDefault="00C7263B" w:rsidP="00AE174A">
            <w:pPr>
              <w:spacing w:before="110" w:after="110"/>
              <w:jc w:val="center"/>
              <w:rPr>
                <w:rFonts w:cs="Arial"/>
                <w:sz w:val="22"/>
              </w:rPr>
            </w:pPr>
            <w:r>
              <w:rPr>
                <w:rFonts w:cs="Arial"/>
                <w:sz w:val="22"/>
              </w:rPr>
              <w:t>Contract Change Proposal</w:t>
            </w:r>
          </w:p>
        </w:tc>
        <w:tc>
          <w:tcPr>
            <w:tcW w:w="3500" w:type="dxa"/>
            <w:shd w:val="clear" w:color="auto" w:fill="auto"/>
            <w:vAlign w:val="center"/>
          </w:tcPr>
          <w:p w14:paraId="3C205D66" w14:textId="77777777" w:rsidR="00E70CD9" w:rsidRPr="00D27303" w:rsidRDefault="00E70CD9" w:rsidP="00AE174A">
            <w:pPr>
              <w:spacing w:before="110" w:after="110"/>
              <w:rPr>
                <w:rFonts w:cs="Arial"/>
                <w:sz w:val="22"/>
              </w:rPr>
            </w:pPr>
          </w:p>
        </w:tc>
        <w:tc>
          <w:tcPr>
            <w:tcW w:w="4700" w:type="dxa"/>
            <w:shd w:val="clear" w:color="auto" w:fill="auto"/>
            <w:vAlign w:val="center"/>
          </w:tcPr>
          <w:p w14:paraId="40ABF39D" w14:textId="77777777" w:rsidR="00E70CD9" w:rsidRPr="00D27303" w:rsidRDefault="00E70CD9" w:rsidP="00AE174A">
            <w:pPr>
              <w:spacing w:before="110" w:after="110"/>
              <w:rPr>
                <w:rFonts w:cs="Arial"/>
                <w:sz w:val="22"/>
              </w:rPr>
            </w:pPr>
          </w:p>
        </w:tc>
      </w:tr>
    </w:tbl>
    <w:p w14:paraId="61286F69" w14:textId="77777777" w:rsidR="00E70CD9" w:rsidRDefault="00E70CD9"/>
    <w:p w14:paraId="674703F5" w14:textId="77777777" w:rsidR="0004427A" w:rsidRDefault="0004427A">
      <w:pPr>
        <w:sectPr w:rsidR="0004427A" w:rsidSect="00B15F15">
          <w:pgSz w:w="16838" w:h="11906" w:orient="landscape"/>
          <w:pgMar w:top="1797" w:right="1440" w:bottom="1797" w:left="1440" w:header="709" w:footer="283" w:gutter="0"/>
          <w:cols w:space="708"/>
          <w:docGrid w:linePitch="360"/>
        </w:sectPr>
      </w:pPr>
    </w:p>
    <w:p w14:paraId="2A6FAEAA" w14:textId="77777777" w:rsidR="0004427A" w:rsidRPr="00481CE6" w:rsidRDefault="0004427A" w:rsidP="006D4A46">
      <w:pPr>
        <w:spacing w:after="0"/>
        <w:jc w:val="center"/>
        <w:rPr>
          <w:rFonts w:cs="Arial"/>
          <w:b/>
        </w:rPr>
      </w:pPr>
      <w:r>
        <w:rPr>
          <w:rFonts w:cs="Arial"/>
          <w:b/>
        </w:rPr>
        <w:lastRenderedPageBreak/>
        <w:t xml:space="preserve">Annex A - </w:t>
      </w:r>
      <w:r w:rsidRPr="00481CE6">
        <w:rPr>
          <w:rFonts w:cs="Arial"/>
          <w:b/>
        </w:rPr>
        <w:t>Overview of Liability Risk Assessment Process</w:t>
      </w:r>
    </w:p>
    <w:p w14:paraId="198C6F60" w14:textId="77777777" w:rsidR="0004427A" w:rsidRDefault="0004427A" w:rsidP="0004427A">
      <w:pPr>
        <w:spacing w:after="0"/>
        <w:rPr>
          <w:rFonts w:cs="Arial"/>
        </w:rPr>
      </w:pPr>
    </w:p>
    <w:p w14:paraId="3B997185" w14:textId="2F9885BD" w:rsidR="0004427A" w:rsidRDefault="0004427A" w:rsidP="0004427A">
      <w:pPr>
        <w:spacing w:after="0"/>
        <w:rPr>
          <w:rFonts w:cs="Arial"/>
        </w:rPr>
      </w:pPr>
      <w:r>
        <w:rPr>
          <w:rFonts w:cs="Arial"/>
        </w:rPr>
        <w:t xml:space="preserve">The </w:t>
      </w:r>
      <w:r w:rsidR="00EE2518">
        <w:rPr>
          <w:rFonts w:cs="Arial"/>
        </w:rPr>
        <w:t>LRA</w:t>
      </w:r>
      <w:r>
        <w:rPr>
          <w:rFonts w:cs="Arial"/>
        </w:rPr>
        <w:t xml:space="preserve"> should be undertaken using this document with the outcomes recorded in a Contract Liability Risk Log (in the form of Table 1) and Proposed Liability Caps (in the form of Table 2). Defence officials should also refer to the</w:t>
      </w:r>
      <w:r w:rsidRPr="00085E68">
        <w:rPr>
          <w:rFonts w:cs="Arial"/>
        </w:rPr>
        <w:t xml:space="preserve"> </w:t>
      </w:r>
      <w:r w:rsidR="00DA6131" w:rsidRPr="00DA6131">
        <w:t>Project Risk Management Manual (“PRMM”) - DMM (PROJ) 11-0-002</w:t>
      </w:r>
      <w:r>
        <w:t xml:space="preserve"> </w:t>
      </w:r>
      <w:r>
        <w:rPr>
          <w:rFonts w:cs="Arial"/>
        </w:rPr>
        <w:t xml:space="preserve">which sets out the process for undertaking risk assessments in relation to project risks more generally. </w:t>
      </w:r>
      <w:r w:rsidR="00120495">
        <w:rPr>
          <w:rFonts w:cs="Arial"/>
        </w:rPr>
        <w:t xml:space="preserve"> </w:t>
      </w:r>
      <w:r>
        <w:rPr>
          <w:rFonts w:cs="Arial"/>
        </w:rPr>
        <w:t xml:space="preserve">The principles outlined in the PRMM should be applied to liability-related risks in undertaking the </w:t>
      </w:r>
      <w:r w:rsidR="007B71B3">
        <w:rPr>
          <w:rFonts w:cs="Arial"/>
        </w:rPr>
        <w:t>LRA</w:t>
      </w:r>
      <w:r>
        <w:rPr>
          <w:rFonts w:cs="Arial"/>
        </w:rPr>
        <w:t xml:space="preserve"> as contemplated under this document. </w:t>
      </w:r>
    </w:p>
    <w:p w14:paraId="08A4C546" w14:textId="77777777" w:rsidR="0004427A" w:rsidRDefault="0004427A" w:rsidP="0004427A">
      <w:pPr>
        <w:spacing w:after="0"/>
        <w:rPr>
          <w:rFonts w:cs="Arial"/>
        </w:rPr>
      </w:pPr>
    </w:p>
    <w:p w14:paraId="3430CC9F" w14:textId="1833228A" w:rsidR="0004427A" w:rsidRDefault="0004427A" w:rsidP="0004427A">
      <w:pPr>
        <w:spacing w:after="240"/>
        <w:rPr>
          <w:rFonts w:cs="Arial"/>
        </w:rPr>
      </w:pPr>
      <w:r>
        <w:rPr>
          <w:rFonts w:cs="Arial"/>
        </w:rPr>
        <w:t xml:space="preserve">The following diagram sets out the key steps to be undertaken as part of the </w:t>
      </w:r>
      <w:r w:rsidR="007B71B3">
        <w:rPr>
          <w:rFonts w:cs="Arial"/>
        </w:rPr>
        <w:t>LRA</w:t>
      </w:r>
      <w:r>
        <w:rPr>
          <w:rFonts w:cs="Arial"/>
        </w:rPr>
        <w:t xml:space="preserve"> and recorded in the Contract Liability Risk Log.  </w:t>
      </w:r>
    </w:p>
    <w:p w14:paraId="4F26C075" w14:textId="77777777" w:rsidR="0004427A" w:rsidRDefault="000F3720" w:rsidP="0004427A">
      <w:pPr>
        <w:spacing w:after="0"/>
        <w:rPr>
          <w:rFonts w:cs="Arial"/>
        </w:rPr>
      </w:pPr>
      <w:r>
        <w:rPr>
          <w:rFonts w:cs="Arial"/>
          <w:noProof/>
        </w:rPr>
        <w:drawing>
          <wp:anchor distT="0" distB="0" distL="114300" distR="114300" simplePos="0" relativeHeight="251658240" behindDoc="0" locked="0" layoutInCell="1" allowOverlap="1" wp14:anchorId="40FCA16F" wp14:editId="212FBA3E">
            <wp:simplePos x="0" y="0"/>
            <wp:positionH relativeFrom="character">
              <wp:posOffset>-1064</wp:posOffset>
            </wp:positionH>
            <wp:positionV relativeFrom="line">
              <wp:posOffset>379</wp:posOffset>
            </wp:positionV>
            <wp:extent cx="5308270" cy="1789072"/>
            <wp:effectExtent l="0" t="0" r="6985" b="190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22546" cy="1793883"/>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rPr>
        <mc:AlternateContent>
          <mc:Choice Requires="wps">
            <w:drawing>
              <wp:inline distT="0" distB="0" distL="0" distR="0" wp14:anchorId="7D2C34A4" wp14:editId="23EC8126">
                <wp:extent cx="5553075" cy="18669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53075"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F9D6E5" id="AutoShape 1" o:spid="_x0000_s1026" style="width:437.25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" filled="f" stroked="f">
                <o:lock v:ext="edit" aspectratio="t"/>
                <w10:anchorlock/>
              </v:rect>
            </w:pict>
          </mc:Fallback>
        </mc:AlternateContent>
      </w:r>
    </w:p>
    <w:p w14:paraId="1CB23A66" w14:textId="77777777" w:rsidR="0004427A" w:rsidRDefault="0004427A" w:rsidP="0004427A">
      <w:pPr>
        <w:spacing w:after="0"/>
        <w:rPr>
          <w:rFonts w:cs="Arial"/>
        </w:rPr>
      </w:pPr>
    </w:p>
    <w:p w14:paraId="7C771220" w14:textId="77777777" w:rsidR="0004427A" w:rsidRDefault="0004427A" w:rsidP="0004427A">
      <w:pPr>
        <w:rPr>
          <w:rFonts w:cs="Arial"/>
        </w:rPr>
      </w:pPr>
      <w:r>
        <w:rPr>
          <w:rFonts w:cs="Arial"/>
        </w:rPr>
        <w:t>Further detail on each step is set out below:</w:t>
      </w:r>
    </w:p>
    <w:p w14:paraId="7EFF42DE" w14:textId="0A34775F" w:rsidR="0004427A" w:rsidRPr="00C85F8B" w:rsidRDefault="0004427A" w:rsidP="0004427A">
      <w:pPr>
        <w:numPr>
          <w:ilvl w:val="0"/>
          <w:numId w:val="45"/>
        </w:numPr>
        <w:spacing w:before="110" w:after="110" w:line="276" w:lineRule="auto"/>
        <w:rPr>
          <w:rFonts w:eastAsia="Calibri" w:cs="Arial"/>
          <w:b/>
          <w:szCs w:val="20"/>
        </w:rPr>
      </w:pPr>
      <w:r w:rsidRPr="00C85F8B">
        <w:rPr>
          <w:rFonts w:eastAsia="Calibri" w:cs="Arial"/>
          <w:b/>
          <w:szCs w:val="20"/>
        </w:rPr>
        <w:t>Step 1 – Establish the context</w:t>
      </w:r>
      <w:r w:rsidRPr="00C85F8B">
        <w:rPr>
          <w:rFonts w:eastAsia="Calibri" w:cs="Arial"/>
          <w:szCs w:val="20"/>
        </w:rPr>
        <w:t xml:space="preserve">: </w:t>
      </w:r>
      <w:r w:rsidR="00C94CB7">
        <w:rPr>
          <w:rFonts w:eastAsia="Calibri" w:cs="Arial"/>
          <w:szCs w:val="20"/>
        </w:rPr>
        <w:t xml:space="preserve"> </w:t>
      </w:r>
      <w:r w:rsidRPr="00C85F8B">
        <w:rPr>
          <w:rFonts w:eastAsia="Calibri" w:cs="Arial"/>
          <w:szCs w:val="20"/>
        </w:rPr>
        <w:t xml:space="preserve">The context for the proposed contract should be considered and recorded in the Contract Liability Risk Log. </w:t>
      </w:r>
      <w:r w:rsidR="00120495">
        <w:rPr>
          <w:rFonts w:eastAsia="Calibri" w:cs="Arial"/>
          <w:szCs w:val="20"/>
        </w:rPr>
        <w:t xml:space="preserve"> </w:t>
      </w:r>
      <w:r w:rsidRPr="00C85F8B">
        <w:rPr>
          <w:rFonts w:eastAsia="Calibri" w:cs="Arial"/>
          <w:szCs w:val="20"/>
        </w:rPr>
        <w:t>This should take into account the objectives of the contract, the nature of the goods or services to be provided under the contract and any internal or external stakeholders impacted by the contract or risks that may arise in relation to the contract.</w:t>
      </w:r>
    </w:p>
    <w:p w14:paraId="21B5388F" w14:textId="7AA19766" w:rsidR="0004427A" w:rsidRPr="00C85F8B" w:rsidRDefault="0004427A" w:rsidP="0004427A">
      <w:pPr>
        <w:numPr>
          <w:ilvl w:val="0"/>
          <w:numId w:val="45"/>
        </w:numPr>
        <w:spacing w:before="110" w:after="110" w:line="276" w:lineRule="auto"/>
        <w:rPr>
          <w:rFonts w:eastAsia="Calibri" w:cs="Arial"/>
          <w:szCs w:val="20"/>
        </w:rPr>
      </w:pPr>
      <w:r w:rsidRPr="00C85F8B">
        <w:rPr>
          <w:rFonts w:eastAsia="Calibri" w:cs="Arial"/>
          <w:b/>
          <w:szCs w:val="20"/>
        </w:rPr>
        <w:t>Step 2 – Identify the risks:</w:t>
      </w:r>
      <w:r w:rsidRPr="00C85F8B">
        <w:rPr>
          <w:rFonts w:eastAsia="Calibri" w:cs="Arial"/>
          <w:szCs w:val="20"/>
        </w:rPr>
        <w:t xml:space="preserve"> </w:t>
      </w:r>
      <w:r w:rsidR="00C94CB7">
        <w:rPr>
          <w:rFonts w:eastAsia="Calibri" w:cs="Arial"/>
          <w:szCs w:val="20"/>
        </w:rPr>
        <w:t xml:space="preserve"> </w:t>
      </w:r>
      <w:r w:rsidRPr="00C85F8B">
        <w:rPr>
          <w:rFonts w:eastAsia="Calibri" w:cs="Arial"/>
          <w:szCs w:val="20"/>
        </w:rPr>
        <w:t xml:space="preserve">The Contract Liability Risk Log should identify all the liability-related risks relating to the proposed contract. This may involve the use of historical data, theoretical analysis, empirical data and analysis, informed opinions of experts and the concerns of stakeholders.  The Project Risk Register may also be a useful source of information for identifying liability-related risks. </w:t>
      </w:r>
      <w:r w:rsidR="00120495">
        <w:rPr>
          <w:rFonts w:eastAsia="Calibri" w:cs="Arial"/>
          <w:szCs w:val="20"/>
        </w:rPr>
        <w:t xml:space="preserve"> </w:t>
      </w:r>
      <w:r w:rsidRPr="00C85F8B">
        <w:rPr>
          <w:rFonts w:eastAsia="Calibri" w:cs="Arial"/>
          <w:szCs w:val="20"/>
        </w:rPr>
        <w:t xml:space="preserve">A common method to identify relevant risks is to conduct a workshop using personnel with different areas of expertise involved in the procurement.  </w:t>
      </w:r>
      <w:r w:rsidR="009D2712" w:rsidRPr="00C85F8B">
        <w:rPr>
          <w:rFonts w:eastAsia="Calibri" w:cs="Arial"/>
          <w:szCs w:val="20"/>
        </w:rPr>
        <w:t xml:space="preserve">In order to facilitate and streamline the </w:t>
      </w:r>
      <w:r w:rsidR="00BF3030" w:rsidRPr="00C85F8B">
        <w:rPr>
          <w:rFonts w:eastAsia="Calibri" w:cs="Arial"/>
          <w:szCs w:val="20"/>
        </w:rPr>
        <w:t>LRA</w:t>
      </w:r>
      <w:r w:rsidR="009D2712" w:rsidRPr="00C85F8B">
        <w:rPr>
          <w:rFonts w:eastAsia="Calibri" w:cs="Arial"/>
          <w:szCs w:val="20"/>
        </w:rPr>
        <w:t xml:space="preserve"> process, Table 1 identifies nine standard liability risks that apply to all Defence contracts.</w:t>
      </w:r>
    </w:p>
    <w:p w14:paraId="40478DCE" w14:textId="09E98AE5" w:rsidR="0004427A" w:rsidRPr="00C85F8B" w:rsidRDefault="0004427A" w:rsidP="0004427A">
      <w:pPr>
        <w:numPr>
          <w:ilvl w:val="0"/>
          <w:numId w:val="45"/>
        </w:numPr>
        <w:spacing w:before="110" w:after="110" w:line="276" w:lineRule="auto"/>
        <w:rPr>
          <w:rFonts w:eastAsia="Calibri" w:cs="Arial"/>
          <w:szCs w:val="20"/>
        </w:rPr>
      </w:pPr>
      <w:r w:rsidRPr="00C85F8B">
        <w:rPr>
          <w:rFonts w:eastAsia="Calibri" w:cs="Arial"/>
          <w:b/>
          <w:szCs w:val="20"/>
        </w:rPr>
        <w:t>Step 3 – Categorise each risk:</w:t>
      </w:r>
      <w:r w:rsidRPr="00C85F8B">
        <w:rPr>
          <w:rFonts w:eastAsia="Calibri" w:cs="Arial"/>
          <w:szCs w:val="20"/>
        </w:rPr>
        <w:t xml:space="preserve"> </w:t>
      </w:r>
      <w:r w:rsidR="00C94CB7">
        <w:rPr>
          <w:rFonts w:eastAsia="Calibri" w:cs="Arial"/>
          <w:szCs w:val="20"/>
        </w:rPr>
        <w:t xml:space="preserve"> </w:t>
      </w:r>
      <w:r w:rsidRPr="00C85F8B">
        <w:rPr>
          <w:rFonts w:eastAsia="Calibri" w:cs="Arial"/>
          <w:szCs w:val="20"/>
        </w:rPr>
        <w:t xml:space="preserve">Each risk should be categorised to assist in the assessment of the risk and consideration of treatments and liability caps. </w:t>
      </w:r>
      <w:r w:rsidR="00120495">
        <w:rPr>
          <w:rFonts w:eastAsia="Calibri" w:cs="Arial"/>
          <w:szCs w:val="20"/>
        </w:rPr>
        <w:t xml:space="preserve"> </w:t>
      </w:r>
      <w:r w:rsidRPr="00C85F8B">
        <w:rPr>
          <w:rFonts w:eastAsia="Calibri" w:cs="Arial"/>
          <w:szCs w:val="20"/>
        </w:rPr>
        <w:t>Most risks will fall into one or more of the following categories:</w:t>
      </w:r>
    </w:p>
    <w:p w14:paraId="1417F919" w14:textId="21B1615C" w:rsidR="0004427A" w:rsidRPr="00C85F8B" w:rsidRDefault="0004427A" w:rsidP="0004427A">
      <w:pPr>
        <w:numPr>
          <w:ilvl w:val="1"/>
          <w:numId w:val="45"/>
        </w:numPr>
        <w:spacing w:before="110" w:after="110" w:line="276" w:lineRule="auto"/>
        <w:ind w:left="709"/>
        <w:rPr>
          <w:rFonts w:eastAsia="Calibri" w:cs="Arial"/>
          <w:szCs w:val="20"/>
        </w:rPr>
      </w:pPr>
      <w:r w:rsidRPr="00C85F8B">
        <w:rPr>
          <w:rFonts w:eastAsia="Calibri" w:cs="Arial"/>
          <w:b/>
          <w:szCs w:val="20"/>
        </w:rPr>
        <w:t>Safety</w:t>
      </w:r>
      <w:r w:rsidRPr="00C85F8B">
        <w:rPr>
          <w:rFonts w:eastAsia="Calibri" w:cs="Arial"/>
          <w:szCs w:val="20"/>
        </w:rPr>
        <w:t xml:space="preserve">: </w:t>
      </w:r>
      <w:r w:rsidR="00C94CB7">
        <w:rPr>
          <w:rFonts w:eastAsia="Calibri" w:cs="Arial"/>
          <w:szCs w:val="20"/>
        </w:rPr>
        <w:t xml:space="preserve"> </w:t>
      </w:r>
      <w:r w:rsidRPr="00C85F8B">
        <w:rPr>
          <w:rFonts w:eastAsia="Calibri" w:cs="Arial"/>
          <w:szCs w:val="20"/>
        </w:rPr>
        <w:t xml:space="preserve">The risk could cause injury or death to persons.  </w:t>
      </w:r>
    </w:p>
    <w:p w14:paraId="76BBDEB7" w14:textId="2CF0CF1B" w:rsidR="0004427A" w:rsidRPr="00C85F8B" w:rsidRDefault="0004427A" w:rsidP="0004427A">
      <w:pPr>
        <w:numPr>
          <w:ilvl w:val="1"/>
          <w:numId w:val="45"/>
        </w:numPr>
        <w:spacing w:before="110" w:after="110" w:line="276" w:lineRule="auto"/>
        <w:ind w:left="709"/>
        <w:rPr>
          <w:rFonts w:eastAsia="Calibri" w:cs="Arial"/>
          <w:szCs w:val="20"/>
        </w:rPr>
      </w:pPr>
      <w:r w:rsidRPr="00C85F8B">
        <w:rPr>
          <w:rFonts w:eastAsia="Calibri" w:cs="Arial"/>
          <w:b/>
          <w:szCs w:val="20"/>
        </w:rPr>
        <w:t>Performance</w:t>
      </w:r>
      <w:r w:rsidRPr="00C85F8B">
        <w:rPr>
          <w:rFonts w:eastAsia="Calibri" w:cs="Arial"/>
          <w:szCs w:val="20"/>
        </w:rPr>
        <w:t xml:space="preserve">: </w:t>
      </w:r>
      <w:r w:rsidR="00C94CB7">
        <w:rPr>
          <w:rFonts w:eastAsia="Calibri" w:cs="Arial"/>
          <w:szCs w:val="20"/>
        </w:rPr>
        <w:t xml:space="preserve"> </w:t>
      </w:r>
      <w:r w:rsidRPr="00C85F8B">
        <w:rPr>
          <w:rFonts w:eastAsia="Calibri" w:cs="Arial"/>
          <w:szCs w:val="20"/>
        </w:rPr>
        <w:t>The risk could affect the performance of the supplies.</w:t>
      </w:r>
    </w:p>
    <w:p w14:paraId="205BF9E2" w14:textId="2D45F9A1" w:rsidR="0004427A" w:rsidRPr="00C85F8B" w:rsidRDefault="0004427A" w:rsidP="0004427A">
      <w:pPr>
        <w:numPr>
          <w:ilvl w:val="1"/>
          <w:numId w:val="45"/>
        </w:numPr>
        <w:spacing w:before="110" w:after="110" w:line="276" w:lineRule="auto"/>
        <w:ind w:left="709"/>
        <w:rPr>
          <w:rFonts w:eastAsia="Calibri" w:cs="Arial"/>
          <w:szCs w:val="20"/>
        </w:rPr>
      </w:pPr>
      <w:r w:rsidRPr="00C85F8B">
        <w:rPr>
          <w:rFonts w:eastAsia="Calibri" w:cs="Arial"/>
          <w:b/>
          <w:szCs w:val="20"/>
        </w:rPr>
        <w:t>Supportability</w:t>
      </w:r>
      <w:r w:rsidRPr="00C85F8B">
        <w:rPr>
          <w:rFonts w:eastAsia="Calibri" w:cs="Arial"/>
          <w:szCs w:val="20"/>
        </w:rPr>
        <w:t xml:space="preserve">: </w:t>
      </w:r>
      <w:r w:rsidR="00C94CB7">
        <w:rPr>
          <w:rFonts w:eastAsia="Calibri" w:cs="Arial"/>
          <w:szCs w:val="20"/>
        </w:rPr>
        <w:t xml:space="preserve"> </w:t>
      </w:r>
      <w:r w:rsidRPr="00C85F8B">
        <w:rPr>
          <w:rFonts w:eastAsia="Calibri" w:cs="Arial"/>
          <w:szCs w:val="20"/>
        </w:rPr>
        <w:t>The risk could affect whether the supplies are supportable.</w:t>
      </w:r>
    </w:p>
    <w:p w14:paraId="038E200F" w14:textId="70865F84" w:rsidR="0004427A" w:rsidRPr="00C85F8B" w:rsidRDefault="0004427A" w:rsidP="0004427A">
      <w:pPr>
        <w:numPr>
          <w:ilvl w:val="1"/>
          <w:numId w:val="45"/>
        </w:numPr>
        <w:spacing w:before="110" w:after="110" w:line="276" w:lineRule="auto"/>
        <w:ind w:left="709"/>
        <w:rPr>
          <w:rFonts w:eastAsia="Calibri" w:cs="Arial"/>
          <w:szCs w:val="20"/>
        </w:rPr>
      </w:pPr>
      <w:r w:rsidRPr="00C85F8B">
        <w:rPr>
          <w:rFonts w:eastAsia="Calibri" w:cs="Arial"/>
          <w:b/>
          <w:szCs w:val="20"/>
        </w:rPr>
        <w:t>Reputation</w:t>
      </w:r>
      <w:r w:rsidRPr="00C85F8B">
        <w:rPr>
          <w:rFonts w:eastAsia="Calibri" w:cs="Arial"/>
          <w:szCs w:val="20"/>
        </w:rPr>
        <w:t xml:space="preserve">: </w:t>
      </w:r>
      <w:r w:rsidR="00C94CB7">
        <w:rPr>
          <w:rFonts w:eastAsia="Calibri" w:cs="Arial"/>
          <w:szCs w:val="20"/>
        </w:rPr>
        <w:t xml:space="preserve"> </w:t>
      </w:r>
      <w:r w:rsidRPr="00C85F8B">
        <w:rPr>
          <w:rFonts w:eastAsia="Calibri" w:cs="Arial"/>
          <w:szCs w:val="20"/>
        </w:rPr>
        <w:t>The reputation of Defence could be negatively affected if the risk eventuates.</w:t>
      </w:r>
    </w:p>
    <w:p w14:paraId="7E708177" w14:textId="6E0B3679" w:rsidR="0004427A" w:rsidRPr="00C85F8B" w:rsidRDefault="0004427A" w:rsidP="0004427A">
      <w:pPr>
        <w:numPr>
          <w:ilvl w:val="1"/>
          <w:numId w:val="45"/>
        </w:numPr>
        <w:spacing w:before="110" w:after="110" w:line="276" w:lineRule="auto"/>
        <w:ind w:left="709"/>
        <w:rPr>
          <w:rFonts w:eastAsia="Calibri" w:cs="Arial"/>
          <w:szCs w:val="20"/>
        </w:rPr>
      </w:pPr>
      <w:r w:rsidRPr="00C85F8B">
        <w:rPr>
          <w:rFonts w:eastAsia="Calibri" w:cs="Arial"/>
          <w:b/>
          <w:szCs w:val="20"/>
        </w:rPr>
        <w:t>Schedule</w:t>
      </w:r>
      <w:r w:rsidRPr="00C85F8B">
        <w:rPr>
          <w:rFonts w:eastAsia="Calibri" w:cs="Arial"/>
          <w:szCs w:val="20"/>
        </w:rPr>
        <w:t xml:space="preserve">: </w:t>
      </w:r>
      <w:r w:rsidR="00C94CB7">
        <w:rPr>
          <w:rFonts w:eastAsia="Calibri" w:cs="Arial"/>
          <w:szCs w:val="20"/>
        </w:rPr>
        <w:t xml:space="preserve"> </w:t>
      </w:r>
      <w:r w:rsidRPr="00C85F8B">
        <w:rPr>
          <w:rFonts w:eastAsia="Calibri" w:cs="Arial"/>
          <w:szCs w:val="20"/>
        </w:rPr>
        <w:t>The risk could cause a delay in the schedule for delivery of the supplies.</w:t>
      </w:r>
    </w:p>
    <w:p w14:paraId="3D239DE7" w14:textId="3F35B2F9" w:rsidR="0004427A" w:rsidRPr="00C85F8B" w:rsidRDefault="0004427A" w:rsidP="0004427A">
      <w:pPr>
        <w:numPr>
          <w:ilvl w:val="1"/>
          <w:numId w:val="45"/>
        </w:numPr>
        <w:spacing w:before="110" w:after="110" w:line="276" w:lineRule="auto"/>
        <w:ind w:left="709"/>
        <w:rPr>
          <w:rFonts w:eastAsia="Calibri" w:cs="Arial"/>
          <w:szCs w:val="20"/>
        </w:rPr>
      </w:pPr>
      <w:r w:rsidRPr="00C85F8B">
        <w:rPr>
          <w:rFonts w:eastAsia="Calibri" w:cs="Arial"/>
          <w:b/>
          <w:szCs w:val="20"/>
        </w:rPr>
        <w:t>Cost</w:t>
      </w:r>
      <w:r w:rsidRPr="00C85F8B">
        <w:rPr>
          <w:rFonts w:eastAsia="Calibri" w:cs="Arial"/>
          <w:szCs w:val="20"/>
        </w:rPr>
        <w:t xml:space="preserve">: </w:t>
      </w:r>
      <w:r w:rsidR="00C94CB7">
        <w:rPr>
          <w:rFonts w:eastAsia="Calibri" w:cs="Arial"/>
          <w:szCs w:val="20"/>
        </w:rPr>
        <w:t xml:space="preserve"> </w:t>
      </w:r>
      <w:r w:rsidRPr="00C85F8B">
        <w:rPr>
          <w:rFonts w:eastAsia="Calibri" w:cs="Arial"/>
          <w:szCs w:val="20"/>
        </w:rPr>
        <w:t>The risk could cause the total actual contract costs, taking into account liabilities incurred by the Commonwealth, to exceed the currently approved cost.</w:t>
      </w:r>
    </w:p>
    <w:p w14:paraId="1A6D8182" w14:textId="0117C52F" w:rsidR="0004427A" w:rsidRPr="00C85F8B" w:rsidRDefault="0004427A" w:rsidP="0004427A">
      <w:pPr>
        <w:numPr>
          <w:ilvl w:val="1"/>
          <w:numId w:val="45"/>
        </w:numPr>
        <w:spacing w:before="110" w:after="110" w:line="276" w:lineRule="auto"/>
        <w:ind w:left="709"/>
        <w:rPr>
          <w:rFonts w:eastAsia="Calibri" w:cs="Arial"/>
          <w:szCs w:val="20"/>
        </w:rPr>
      </w:pPr>
      <w:r w:rsidRPr="00C85F8B">
        <w:rPr>
          <w:rFonts w:eastAsia="Calibri" w:cs="Arial"/>
          <w:b/>
          <w:szCs w:val="20"/>
        </w:rPr>
        <w:t>Environment</w:t>
      </w:r>
      <w:r w:rsidRPr="00C85F8B">
        <w:rPr>
          <w:rFonts w:eastAsia="Calibri" w:cs="Arial"/>
          <w:szCs w:val="20"/>
        </w:rPr>
        <w:t xml:space="preserve">: </w:t>
      </w:r>
      <w:r w:rsidR="00C94CB7">
        <w:rPr>
          <w:rFonts w:eastAsia="Calibri" w:cs="Arial"/>
          <w:szCs w:val="20"/>
        </w:rPr>
        <w:t xml:space="preserve"> </w:t>
      </w:r>
      <w:r w:rsidRPr="00C85F8B">
        <w:rPr>
          <w:rFonts w:eastAsia="Calibri" w:cs="Arial"/>
          <w:szCs w:val="20"/>
        </w:rPr>
        <w:t>The risk could cause damage to the environment if it occurs.</w:t>
      </w:r>
    </w:p>
    <w:p w14:paraId="760E22DA" w14:textId="0A1FCD68" w:rsidR="0004427A" w:rsidRPr="00C85F8B" w:rsidRDefault="0004427A" w:rsidP="0004427A">
      <w:pPr>
        <w:numPr>
          <w:ilvl w:val="1"/>
          <w:numId w:val="45"/>
        </w:numPr>
        <w:spacing w:before="110" w:after="110" w:line="276" w:lineRule="auto"/>
        <w:ind w:left="709"/>
        <w:rPr>
          <w:rFonts w:eastAsia="Calibri" w:cs="Arial"/>
          <w:szCs w:val="20"/>
        </w:rPr>
      </w:pPr>
      <w:r w:rsidRPr="00C85F8B">
        <w:rPr>
          <w:rFonts w:eastAsia="Calibri" w:cs="Arial"/>
          <w:b/>
          <w:szCs w:val="20"/>
        </w:rPr>
        <w:lastRenderedPageBreak/>
        <w:t>Compliance</w:t>
      </w:r>
      <w:r w:rsidRPr="00C85F8B">
        <w:rPr>
          <w:rFonts w:eastAsia="Calibri" w:cs="Arial"/>
          <w:szCs w:val="20"/>
        </w:rPr>
        <w:t xml:space="preserve">: </w:t>
      </w:r>
      <w:r w:rsidR="00C94CB7">
        <w:rPr>
          <w:rFonts w:eastAsia="Calibri" w:cs="Arial"/>
          <w:szCs w:val="20"/>
        </w:rPr>
        <w:t xml:space="preserve"> </w:t>
      </w:r>
      <w:r w:rsidRPr="00C85F8B">
        <w:rPr>
          <w:rFonts w:eastAsia="Calibri" w:cs="Arial"/>
          <w:szCs w:val="20"/>
        </w:rPr>
        <w:t>The risk could cause a breach of procedures, guidelines, Defence policies, licences, regulations, legislation, or regulatory intervention or prosecution.</w:t>
      </w:r>
    </w:p>
    <w:p w14:paraId="175C021B" w14:textId="07F44A9C" w:rsidR="0004427A" w:rsidRPr="00C85F8B" w:rsidRDefault="0004427A" w:rsidP="0004427A">
      <w:pPr>
        <w:numPr>
          <w:ilvl w:val="1"/>
          <w:numId w:val="45"/>
        </w:numPr>
        <w:spacing w:before="110" w:after="110" w:line="276" w:lineRule="auto"/>
        <w:ind w:left="709"/>
        <w:rPr>
          <w:rFonts w:eastAsia="Calibri" w:cs="Arial"/>
          <w:szCs w:val="20"/>
        </w:rPr>
      </w:pPr>
      <w:r w:rsidRPr="00C85F8B">
        <w:rPr>
          <w:rFonts w:eastAsia="Calibri" w:cs="Arial"/>
          <w:b/>
          <w:szCs w:val="20"/>
        </w:rPr>
        <w:t>Security</w:t>
      </w:r>
      <w:r w:rsidRPr="00C85F8B">
        <w:rPr>
          <w:rFonts w:eastAsia="Calibri" w:cs="Arial"/>
          <w:szCs w:val="20"/>
        </w:rPr>
        <w:t xml:space="preserve">: </w:t>
      </w:r>
      <w:r w:rsidR="00C94CB7">
        <w:rPr>
          <w:rFonts w:eastAsia="Calibri" w:cs="Arial"/>
          <w:szCs w:val="20"/>
        </w:rPr>
        <w:t xml:space="preserve"> </w:t>
      </w:r>
      <w:r w:rsidRPr="00C85F8B">
        <w:rPr>
          <w:rFonts w:eastAsia="Calibri" w:cs="Arial"/>
          <w:szCs w:val="20"/>
        </w:rPr>
        <w:t>The risk could cause a security incident that impacts on classified or sensitive information, equipment, strategy or tactics, capability and functionality or on Australia's national security, interests, economy, stability, integrity or international relations.</w:t>
      </w:r>
    </w:p>
    <w:p w14:paraId="3FC9717E" w14:textId="3B64611F" w:rsidR="0004427A" w:rsidRPr="00C85F8B" w:rsidRDefault="009D2712" w:rsidP="0004427A">
      <w:pPr>
        <w:spacing w:before="110" w:after="110" w:line="276" w:lineRule="auto"/>
        <w:ind w:left="349"/>
        <w:rPr>
          <w:rFonts w:eastAsia="Calibri" w:cs="Arial"/>
          <w:szCs w:val="20"/>
        </w:rPr>
      </w:pPr>
      <w:r w:rsidRPr="00C85F8B">
        <w:rPr>
          <w:rFonts w:eastAsia="Calibri" w:cs="Arial"/>
          <w:szCs w:val="20"/>
        </w:rPr>
        <w:t xml:space="preserve">The nine standard liability risks identified in Table 1 are </w:t>
      </w:r>
      <w:r w:rsidR="008517C7">
        <w:rPr>
          <w:rFonts w:eastAsia="Calibri" w:cs="Arial"/>
          <w:szCs w:val="20"/>
        </w:rPr>
        <w:t xml:space="preserve">described at a </w:t>
      </w:r>
      <w:r w:rsidRPr="00C85F8B">
        <w:rPr>
          <w:rFonts w:eastAsia="Calibri" w:cs="Arial"/>
          <w:szCs w:val="20"/>
        </w:rPr>
        <w:t>high level</w:t>
      </w:r>
      <w:r w:rsidR="002F1A79" w:rsidRPr="00C85F8B">
        <w:rPr>
          <w:rFonts w:eastAsia="Calibri" w:cs="Arial"/>
          <w:szCs w:val="20"/>
        </w:rPr>
        <w:t xml:space="preserve"> and </w:t>
      </w:r>
      <w:r w:rsidR="008517C7">
        <w:rPr>
          <w:rFonts w:eastAsia="Calibri" w:cs="Arial"/>
          <w:szCs w:val="20"/>
        </w:rPr>
        <w:t xml:space="preserve">are intended to </w:t>
      </w:r>
      <w:r w:rsidR="002F1A79" w:rsidRPr="00C85F8B">
        <w:rPr>
          <w:rFonts w:eastAsia="Calibri" w:cs="Arial"/>
          <w:szCs w:val="20"/>
        </w:rPr>
        <w:t xml:space="preserve">focus on </w:t>
      </w:r>
      <w:r w:rsidRPr="00C85F8B">
        <w:rPr>
          <w:rFonts w:eastAsia="Calibri" w:cs="Arial"/>
          <w:szCs w:val="20"/>
        </w:rPr>
        <w:t>the ultimate liability impacts on Schedule, Cost and Performance.</w:t>
      </w:r>
    </w:p>
    <w:p w14:paraId="2E13C4A5" w14:textId="4E8318D3" w:rsidR="0004427A" w:rsidRPr="00C85F8B" w:rsidRDefault="0004427A" w:rsidP="0004427A">
      <w:pPr>
        <w:numPr>
          <w:ilvl w:val="0"/>
          <w:numId w:val="45"/>
        </w:numPr>
        <w:spacing w:before="110" w:after="110" w:line="276" w:lineRule="auto"/>
        <w:rPr>
          <w:rFonts w:eastAsia="Calibri" w:cs="Arial"/>
          <w:szCs w:val="20"/>
        </w:rPr>
      </w:pPr>
      <w:r w:rsidRPr="00C85F8B">
        <w:rPr>
          <w:rFonts w:eastAsia="Calibri" w:cs="Arial"/>
          <w:b/>
          <w:szCs w:val="20"/>
        </w:rPr>
        <w:t xml:space="preserve">Step 4 – Consider the impact of the risk: </w:t>
      </w:r>
      <w:r w:rsidR="00C94CB7">
        <w:rPr>
          <w:rFonts w:eastAsia="Calibri" w:cs="Arial"/>
          <w:b/>
          <w:szCs w:val="20"/>
        </w:rPr>
        <w:t xml:space="preserve"> </w:t>
      </w:r>
      <w:r w:rsidRPr="00C85F8B">
        <w:rPr>
          <w:rFonts w:eastAsia="Calibri" w:cs="Arial"/>
          <w:szCs w:val="20"/>
        </w:rPr>
        <w:t>The</w:t>
      </w:r>
      <w:r w:rsidRPr="00C85F8B">
        <w:rPr>
          <w:rFonts w:eastAsia="Calibri" w:cs="Arial"/>
          <w:b/>
          <w:szCs w:val="20"/>
        </w:rPr>
        <w:t xml:space="preserve"> </w:t>
      </w:r>
      <w:r w:rsidRPr="00C85F8B">
        <w:rPr>
          <w:rFonts w:eastAsia="Calibri" w:cs="Arial"/>
          <w:szCs w:val="20"/>
        </w:rPr>
        <w:t xml:space="preserve">impact of each risk should be considered, including the financial impact </w:t>
      </w:r>
      <w:r w:rsidR="0056729F" w:rsidRPr="00C85F8B">
        <w:rPr>
          <w:rFonts w:eastAsia="Calibri" w:cs="Arial"/>
          <w:szCs w:val="20"/>
        </w:rPr>
        <w:t>of</w:t>
      </w:r>
      <w:r w:rsidRPr="00C85F8B">
        <w:rPr>
          <w:rFonts w:eastAsia="Calibri" w:cs="Arial"/>
          <w:szCs w:val="20"/>
        </w:rPr>
        <w:t xml:space="preserve"> each risk for the Commonwealth.  </w:t>
      </w:r>
      <w:r w:rsidR="0056729F" w:rsidRPr="00C85F8B">
        <w:rPr>
          <w:rFonts w:eastAsia="Calibri" w:cs="Arial"/>
          <w:szCs w:val="20"/>
        </w:rPr>
        <w:t xml:space="preserve">The impact of the risk is </w:t>
      </w:r>
      <w:r w:rsidR="00C94CB7" w:rsidRPr="00123A64">
        <w:rPr>
          <w:rFonts w:eastAsia="Calibri" w:cs="Arial"/>
          <w:szCs w:val="20"/>
          <w:u w:val="single"/>
        </w:rPr>
        <w:t>not</w:t>
      </w:r>
      <w:r w:rsidR="00C94CB7" w:rsidRPr="00C85F8B">
        <w:rPr>
          <w:rFonts w:eastAsia="Calibri" w:cs="Arial"/>
          <w:szCs w:val="20"/>
        </w:rPr>
        <w:t xml:space="preserve"> </w:t>
      </w:r>
      <w:r w:rsidR="0056729F" w:rsidRPr="00C85F8B">
        <w:rPr>
          <w:rFonts w:eastAsia="Calibri" w:cs="Arial"/>
          <w:szCs w:val="20"/>
        </w:rPr>
        <w:t xml:space="preserve">affected by the likelihood of </w:t>
      </w:r>
      <w:r w:rsidR="00C94CB7">
        <w:rPr>
          <w:rFonts w:eastAsia="Calibri" w:cs="Arial"/>
          <w:szCs w:val="20"/>
        </w:rPr>
        <w:t>the risk</w:t>
      </w:r>
      <w:r w:rsidR="00C94CB7" w:rsidRPr="00C85F8B">
        <w:rPr>
          <w:rFonts w:eastAsia="Calibri" w:cs="Arial"/>
          <w:szCs w:val="20"/>
        </w:rPr>
        <w:t xml:space="preserve"> </w:t>
      </w:r>
      <w:r w:rsidR="0056729F" w:rsidRPr="00C85F8B">
        <w:rPr>
          <w:rFonts w:eastAsia="Calibri" w:cs="Arial"/>
          <w:szCs w:val="20"/>
        </w:rPr>
        <w:t xml:space="preserve">occurring. </w:t>
      </w:r>
      <w:r w:rsidR="00C94CB7">
        <w:rPr>
          <w:rFonts w:eastAsia="Calibri" w:cs="Arial"/>
          <w:szCs w:val="20"/>
        </w:rPr>
        <w:t xml:space="preserve"> </w:t>
      </w:r>
      <w:r w:rsidR="0056729F" w:rsidRPr="00C85F8B">
        <w:rPr>
          <w:szCs w:val="20"/>
        </w:rPr>
        <w:t xml:space="preserve">The estimated financial </w:t>
      </w:r>
      <w:r w:rsidR="00C94CB7">
        <w:rPr>
          <w:szCs w:val="20"/>
        </w:rPr>
        <w:t>impact</w:t>
      </w:r>
      <w:r w:rsidR="00C94CB7" w:rsidRPr="00C85F8B">
        <w:rPr>
          <w:szCs w:val="20"/>
        </w:rPr>
        <w:t xml:space="preserve"> </w:t>
      </w:r>
      <w:r w:rsidR="0056729F" w:rsidRPr="00C85F8B">
        <w:rPr>
          <w:szCs w:val="20"/>
        </w:rPr>
        <w:t xml:space="preserve">to the Commonwealth of a risk event occurring </w:t>
      </w:r>
      <w:r w:rsidR="00C94CB7">
        <w:rPr>
          <w:szCs w:val="20"/>
        </w:rPr>
        <w:t>(</w:t>
      </w:r>
      <w:r w:rsidR="0056729F" w:rsidRPr="00C85F8B">
        <w:rPr>
          <w:szCs w:val="20"/>
        </w:rPr>
        <w:t xml:space="preserve">after taking into account any risk treatments that mitigate </w:t>
      </w:r>
      <w:r w:rsidR="00C94CB7">
        <w:rPr>
          <w:szCs w:val="20"/>
        </w:rPr>
        <w:t xml:space="preserve">the </w:t>
      </w:r>
      <w:r w:rsidR="0056729F" w:rsidRPr="00C85F8B">
        <w:rPr>
          <w:szCs w:val="20"/>
        </w:rPr>
        <w:t>consequence</w:t>
      </w:r>
      <w:r w:rsidR="00C94CB7">
        <w:rPr>
          <w:szCs w:val="20"/>
        </w:rPr>
        <w:t>s of a risk)</w:t>
      </w:r>
      <w:r w:rsidR="0056729F" w:rsidRPr="00C85F8B">
        <w:rPr>
          <w:szCs w:val="20"/>
        </w:rPr>
        <w:t xml:space="preserve"> is known as the Maximum Probable Loss. </w:t>
      </w:r>
      <w:r w:rsidR="00C94CB7">
        <w:rPr>
          <w:szCs w:val="20"/>
        </w:rPr>
        <w:t xml:space="preserve"> </w:t>
      </w:r>
      <w:r w:rsidRPr="00C85F8B">
        <w:rPr>
          <w:rFonts w:eastAsia="Calibri" w:cs="Arial"/>
          <w:szCs w:val="20"/>
        </w:rPr>
        <w:t>The</w:t>
      </w:r>
      <w:r w:rsidR="00C94CB7">
        <w:rPr>
          <w:rFonts w:eastAsia="Calibri" w:cs="Arial"/>
          <w:szCs w:val="20"/>
        </w:rPr>
        <w:t xml:space="preserve"> Maximum Probable Loss </w:t>
      </w:r>
      <w:r w:rsidRPr="00C85F8B">
        <w:rPr>
          <w:rFonts w:eastAsia="Calibri" w:cs="Arial"/>
          <w:szCs w:val="20"/>
        </w:rPr>
        <w:t>should be used when considering the proposed liability caps under Table 2</w:t>
      </w:r>
      <w:r w:rsidR="006217AB" w:rsidRPr="00C85F8B">
        <w:rPr>
          <w:rFonts w:eastAsia="Calibri" w:cs="Arial"/>
          <w:szCs w:val="20"/>
        </w:rPr>
        <w:t xml:space="preserve"> and insurance limits under Table 3</w:t>
      </w:r>
      <w:r w:rsidRPr="00C85F8B">
        <w:rPr>
          <w:rFonts w:eastAsia="Calibri" w:cs="Arial"/>
          <w:szCs w:val="20"/>
        </w:rPr>
        <w:t xml:space="preserve">. </w:t>
      </w:r>
    </w:p>
    <w:p w14:paraId="476BA790" w14:textId="404D4D56" w:rsidR="0004427A" w:rsidRPr="00C85F8B" w:rsidRDefault="0004427A" w:rsidP="0004427A">
      <w:pPr>
        <w:numPr>
          <w:ilvl w:val="0"/>
          <w:numId w:val="45"/>
        </w:numPr>
        <w:spacing w:before="110" w:after="110" w:line="276" w:lineRule="auto"/>
        <w:rPr>
          <w:rFonts w:eastAsia="Calibri" w:cs="Arial"/>
          <w:szCs w:val="20"/>
        </w:rPr>
      </w:pPr>
      <w:r w:rsidRPr="00C85F8B">
        <w:rPr>
          <w:rFonts w:eastAsia="Calibri" w:cs="Arial"/>
          <w:b/>
          <w:szCs w:val="20"/>
        </w:rPr>
        <w:t>Step 5 –</w:t>
      </w:r>
      <w:r w:rsidRPr="00C85F8B">
        <w:rPr>
          <w:rFonts w:eastAsia="Calibri" w:cs="Arial"/>
          <w:szCs w:val="20"/>
        </w:rPr>
        <w:t xml:space="preserve"> </w:t>
      </w:r>
      <w:r w:rsidRPr="00C85F8B">
        <w:rPr>
          <w:rFonts w:eastAsia="Calibri" w:cs="Arial"/>
          <w:b/>
          <w:szCs w:val="20"/>
        </w:rPr>
        <w:t xml:space="preserve">Determine likelihood of each risk occurring: </w:t>
      </w:r>
      <w:r w:rsidR="00C94CB7">
        <w:rPr>
          <w:rFonts w:eastAsia="Calibri" w:cs="Arial"/>
          <w:b/>
          <w:szCs w:val="20"/>
        </w:rPr>
        <w:t xml:space="preserve"> </w:t>
      </w:r>
      <w:r w:rsidRPr="00C85F8B">
        <w:rPr>
          <w:rFonts w:eastAsia="Calibri" w:cs="Arial"/>
          <w:szCs w:val="20"/>
        </w:rPr>
        <w:t>Each risk should be given a rating for likelihood, being the probability of the risk event occurring.  The following likelihood ratings should be used:</w:t>
      </w:r>
    </w:p>
    <w:tbl>
      <w:tblPr>
        <w:tblW w:w="0" w:type="auto"/>
        <w:tblInd w:w="534" w:type="dxa"/>
        <w:tblLook w:val="04A0" w:firstRow="1" w:lastRow="0" w:firstColumn="1" w:lastColumn="0" w:noHBand="0" w:noVBand="1"/>
      </w:tblPr>
      <w:tblGrid>
        <w:gridCol w:w="2220"/>
        <w:gridCol w:w="5543"/>
      </w:tblGrid>
      <w:tr w:rsidR="0004427A" w:rsidRPr="00C85F8B" w14:paraId="6F05AB50" w14:textId="77777777" w:rsidTr="00113103">
        <w:tc>
          <w:tcPr>
            <w:tcW w:w="2268" w:type="dxa"/>
            <w:tcBorders>
              <w:top w:val="single" w:sz="12" w:space="0" w:color="FFFFFF"/>
              <w:left w:val="single" w:sz="12" w:space="0" w:color="FFFFFF"/>
              <w:bottom w:val="single" w:sz="12" w:space="0" w:color="FFFFFF"/>
              <w:right w:val="single" w:sz="12" w:space="0" w:color="FFFFFF"/>
            </w:tcBorders>
            <w:shd w:val="clear" w:color="auto" w:fill="B8CCE4"/>
          </w:tcPr>
          <w:p w14:paraId="08080CF1" w14:textId="77777777" w:rsidR="0004427A" w:rsidRPr="00C85F8B" w:rsidRDefault="0004427A" w:rsidP="00113103">
            <w:pPr>
              <w:spacing w:before="40" w:after="40" w:line="276" w:lineRule="auto"/>
              <w:rPr>
                <w:rFonts w:eastAsia="Calibri" w:cs="Arial"/>
                <w:b/>
                <w:szCs w:val="20"/>
              </w:rPr>
            </w:pPr>
            <w:r w:rsidRPr="00C85F8B">
              <w:rPr>
                <w:rFonts w:eastAsia="Calibri" w:cs="Arial"/>
                <w:b/>
                <w:szCs w:val="20"/>
              </w:rPr>
              <w:t>Almost Certain</w:t>
            </w:r>
          </w:p>
        </w:tc>
        <w:tc>
          <w:tcPr>
            <w:tcW w:w="5726" w:type="dxa"/>
            <w:tcBorders>
              <w:top w:val="single" w:sz="8" w:space="0" w:color="4F81BD"/>
              <w:left w:val="single" w:sz="12" w:space="0" w:color="FFFFFF"/>
              <w:bottom w:val="single" w:sz="8" w:space="0" w:color="4F81BD"/>
            </w:tcBorders>
            <w:shd w:val="clear" w:color="auto" w:fill="auto"/>
          </w:tcPr>
          <w:p w14:paraId="37E533EC" w14:textId="77777777" w:rsidR="0004427A" w:rsidRPr="00C85F8B" w:rsidRDefault="0004427A" w:rsidP="00113103">
            <w:pPr>
              <w:spacing w:before="40" w:after="40" w:line="276" w:lineRule="auto"/>
              <w:rPr>
                <w:rFonts w:eastAsia="Calibri" w:cs="Arial"/>
                <w:szCs w:val="20"/>
              </w:rPr>
            </w:pPr>
            <w:r w:rsidRPr="00C85F8B">
              <w:rPr>
                <w:rFonts w:eastAsia="Calibri" w:cs="Arial"/>
                <w:szCs w:val="20"/>
              </w:rPr>
              <w:t>90 - 99% likelihood of event occurring.</w:t>
            </w:r>
          </w:p>
        </w:tc>
      </w:tr>
      <w:tr w:rsidR="0004427A" w:rsidRPr="00C85F8B" w14:paraId="25BC283C" w14:textId="77777777" w:rsidTr="00113103">
        <w:tc>
          <w:tcPr>
            <w:tcW w:w="2268" w:type="dxa"/>
            <w:tcBorders>
              <w:top w:val="single" w:sz="12" w:space="0" w:color="FFFFFF"/>
              <w:left w:val="single" w:sz="12" w:space="0" w:color="FFFFFF"/>
              <w:bottom w:val="single" w:sz="12" w:space="0" w:color="FFFFFF"/>
              <w:right w:val="single" w:sz="12" w:space="0" w:color="FFFFFF"/>
            </w:tcBorders>
            <w:shd w:val="clear" w:color="auto" w:fill="B8CCE4"/>
          </w:tcPr>
          <w:p w14:paraId="478A2050" w14:textId="77777777" w:rsidR="0004427A" w:rsidRPr="00C85F8B" w:rsidRDefault="0004427A" w:rsidP="00113103">
            <w:pPr>
              <w:spacing w:before="40" w:after="40" w:line="276" w:lineRule="auto"/>
              <w:rPr>
                <w:rFonts w:eastAsia="Calibri" w:cs="Arial"/>
                <w:b/>
                <w:szCs w:val="20"/>
              </w:rPr>
            </w:pPr>
            <w:r w:rsidRPr="00C85F8B">
              <w:rPr>
                <w:rFonts w:eastAsia="Calibri" w:cs="Arial"/>
                <w:b/>
                <w:szCs w:val="20"/>
              </w:rPr>
              <w:t>Likely</w:t>
            </w:r>
          </w:p>
        </w:tc>
        <w:tc>
          <w:tcPr>
            <w:tcW w:w="5726" w:type="dxa"/>
            <w:tcBorders>
              <w:top w:val="single" w:sz="8" w:space="0" w:color="4F81BD"/>
              <w:left w:val="single" w:sz="12" w:space="0" w:color="FFFFFF"/>
              <w:bottom w:val="single" w:sz="8" w:space="0" w:color="4F81BD"/>
            </w:tcBorders>
            <w:shd w:val="clear" w:color="auto" w:fill="auto"/>
          </w:tcPr>
          <w:p w14:paraId="19066778" w14:textId="77777777" w:rsidR="0004427A" w:rsidRPr="00C85F8B" w:rsidRDefault="0004427A" w:rsidP="00113103">
            <w:pPr>
              <w:spacing w:before="40" w:after="40" w:line="276" w:lineRule="auto"/>
              <w:rPr>
                <w:rFonts w:eastAsia="Calibri" w:cs="Arial"/>
                <w:szCs w:val="20"/>
              </w:rPr>
            </w:pPr>
            <w:r w:rsidRPr="00C85F8B">
              <w:rPr>
                <w:rFonts w:eastAsia="Calibri" w:cs="Arial"/>
                <w:szCs w:val="20"/>
              </w:rPr>
              <w:t>70 - 89% likelihood of event occurring.</w:t>
            </w:r>
          </w:p>
        </w:tc>
      </w:tr>
      <w:tr w:rsidR="0004427A" w:rsidRPr="00C85F8B" w14:paraId="4B650446" w14:textId="77777777" w:rsidTr="00113103">
        <w:tc>
          <w:tcPr>
            <w:tcW w:w="2268" w:type="dxa"/>
            <w:tcBorders>
              <w:top w:val="single" w:sz="12" w:space="0" w:color="FFFFFF"/>
              <w:left w:val="single" w:sz="12" w:space="0" w:color="FFFFFF"/>
              <w:bottom w:val="single" w:sz="12" w:space="0" w:color="FFFFFF"/>
              <w:right w:val="single" w:sz="12" w:space="0" w:color="FFFFFF"/>
            </w:tcBorders>
            <w:shd w:val="clear" w:color="auto" w:fill="B8CCE4"/>
          </w:tcPr>
          <w:p w14:paraId="3E603DC5" w14:textId="77777777" w:rsidR="0004427A" w:rsidRPr="00C85F8B" w:rsidRDefault="0004427A" w:rsidP="00113103">
            <w:pPr>
              <w:spacing w:before="40" w:after="40" w:line="276" w:lineRule="auto"/>
              <w:rPr>
                <w:rFonts w:eastAsia="Calibri" w:cs="Arial"/>
                <w:b/>
                <w:szCs w:val="20"/>
              </w:rPr>
            </w:pPr>
            <w:r w:rsidRPr="00C85F8B">
              <w:rPr>
                <w:rFonts w:eastAsia="Calibri" w:cs="Arial"/>
                <w:b/>
                <w:szCs w:val="20"/>
              </w:rPr>
              <w:t>Possible</w:t>
            </w:r>
          </w:p>
        </w:tc>
        <w:tc>
          <w:tcPr>
            <w:tcW w:w="5726" w:type="dxa"/>
            <w:tcBorders>
              <w:top w:val="single" w:sz="8" w:space="0" w:color="4F81BD"/>
              <w:left w:val="single" w:sz="12" w:space="0" w:color="FFFFFF"/>
              <w:bottom w:val="single" w:sz="8" w:space="0" w:color="4F81BD"/>
            </w:tcBorders>
            <w:shd w:val="clear" w:color="auto" w:fill="auto"/>
          </w:tcPr>
          <w:p w14:paraId="0D2E7C58" w14:textId="77777777" w:rsidR="0004427A" w:rsidRPr="00C85F8B" w:rsidRDefault="0004427A" w:rsidP="00113103">
            <w:pPr>
              <w:spacing w:before="40" w:after="40" w:line="276" w:lineRule="auto"/>
              <w:rPr>
                <w:rFonts w:eastAsia="Calibri" w:cs="Arial"/>
                <w:szCs w:val="20"/>
              </w:rPr>
            </w:pPr>
            <w:r w:rsidRPr="00C85F8B">
              <w:rPr>
                <w:rFonts w:eastAsia="Calibri" w:cs="Arial"/>
                <w:szCs w:val="20"/>
              </w:rPr>
              <w:t>30 – 69% likelihood of event occurring.</w:t>
            </w:r>
          </w:p>
        </w:tc>
      </w:tr>
      <w:tr w:rsidR="0004427A" w:rsidRPr="00C85F8B" w14:paraId="720C1145" w14:textId="77777777" w:rsidTr="00113103">
        <w:tc>
          <w:tcPr>
            <w:tcW w:w="2268" w:type="dxa"/>
            <w:tcBorders>
              <w:top w:val="single" w:sz="12" w:space="0" w:color="FFFFFF"/>
              <w:left w:val="single" w:sz="12" w:space="0" w:color="FFFFFF"/>
              <w:bottom w:val="single" w:sz="12" w:space="0" w:color="FFFFFF"/>
              <w:right w:val="single" w:sz="12" w:space="0" w:color="FFFFFF"/>
            </w:tcBorders>
            <w:shd w:val="clear" w:color="auto" w:fill="B8CCE4"/>
          </w:tcPr>
          <w:p w14:paraId="7D61D621" w14:textId="77777777" w:rsidR="0004427A" w:rsidRPr="00C85F8B" w:rsidRDefault="0004427A" w:rsidP="00113103">
            <w:pPr>
              <w:spacing w:before="40" w:after="40" w:line="276" w:lineRule="auto"/>
              <w:rPr>
                <w:rFonts w:eastAsia="Calibri" w:cs="Arial"/>
                <w:b/>
                <w:szCs w:val="20"/>
              </w:rPr>
            </w:pPr>
            <w:r w:rsidRPr="00C85F8B">
              <w:rPr>
                <w:rFonts w:eastAsia="Calibri" w:cs="Arial"/>
                <w:b/>
                <w:szCs w:val="20"/>
              </w:rPr>
              <w:t>Unlikely</w:t>
            </w:r>
          </w:p>
        </w:tc>
        <w:tc>
          <w:tcPr>
            <w:tcW w:w="5726" w:type="dxa"/>
            <w:tcBorders>
              <w:top w:val="single" w:sz="8" w:space="0" w:color="4F81BD"/>
              <w:left w:val="single" w:sz="12" w:space="0" w:color="FFFFFF"/>
              <w:bottom w:val="single" w:sz="8" w:space="0" w:color="4F81BD"/>
            </w:tcBorders>
            <w:shd w:val="clear" w:color="auto" w:fill="auto"/>
          </w:tcPr>
          <w:p w14:paraId="2D60B4FD" w14:textId="77777777" w:rsidR="0004427A" w:rsidRPr="00C85F8B" w:rsidRDefault="0004427A" w:rsidP="00113103">
            <w:pPr>
              <w:spacing w:before="40" w:after="40" w:line="276" w:lineRule="auto"/>
              <w:rPr>
                <w:rFonts w:eastAsia="Calibri" w:cs="Arial"/>
                <w:szCs w:val="20"/>
              </w:rPr>
            </w:pPr>
            <w:r w:rsidRPr="00C85F8B">
              <w:rPr>
                <w:rFonts w:eastAsia="Calibri" w:cs="Arial"/>
                <w:szCs w:val="20"/>
              </w:rPr>
              <w:t>10 - 29% likelihood of event occurring.</w:t>
            </w:r>
          </w:p>
        </w:tc>
      </w:tr>
      <w:tr w:rsidR="0004427A" w:rsidRPr="00C85F8B" w14:paraId="754FC542" w14:textId="77777777" w:rsidTr="00113103">
        <w:tc>
          <w:tcPr>
            <w:tcW w:w="2268" w:type="dxa"/>
            <w:tcBorders>
              <w:top w:val="single" w:sz="12" w:space="0" w:color="FFFFFF"/>
              <w:left w:val="single" w:sz="12" w:space="0" w:color="FFFFFF"/>
              <w:bottom w:val="single" w:sz="12" w:space="0" w:color="FFFFFF"/>
              <w:right w:val="single" w:sz="12" w:space="0" w:color="FFFFFF"/>
            </w:tcBorders>
            <w:shd w:val="clear" w:color="auto" w:fill="B8CCE4"/>
          </w:tcPr>
          <w:p w14:paraId="53FF6938" w14:textId="77777777" w:rsidR="0004427A" w:rsidRPr="00C85F8B" w:rsidRDefault="0004427A" w:rsidP="00113103">
            <w:pPr>
              <w:spacing w:before="40" w:after="40" w:line="276" w:lineRule="auto"/>
              <w:rPr>
                <w:rFonts w:eastAsia="Calibri" w:cs="Arial"/>
                <w:b/>
                <w:szCs w:val="20"/>
              </w:rPr>
            </w:pPr>
            <w:r w:rsidRPr="00C85F8B">
              <w:rPr>
                <w:rFonts w:eastAsia="Calibri" w:cs="Arial"/>
                <w:b/>
                <w:szCs w:val="20"/>
              </w:rPr>
              <w:t>Rare</w:t>
            </w:r>
          </w:p>
        </w:tc>
        <w:tc>
          <w:tcPr>
            <w:tcW w:w="5726" w:type="dxa"/>
            <w:tcBorders>
              <w:top w:val="single" w:sz="8" w:space="0" w:color="4F81BD"/>
              <w:left w:val="single" w:sz="12" w:space="0" w:color="FFFFFF"/>
              <w:bottom w:val="single" w:sz="8" w:space="0" w:color="4F81BD"/>
            </w:tcBorders>
            <w:shd w:val="clear" w:color="auto" w:fill="auto"/>
          </w:tcPr>
          <w:p w14:paraId="08746B94" w14:textId="77777777" w:rsidR="0004427A" w:rsidRPr="00C85F8B" w:rsidRDefault="0004427A" w:rsidP="00113103">
            <w:pPr>
              <w:spacing w:before="40" w:after="40" w:line="276" w:lineRule="auto"/>
              <w:rPr>
                <w:rFonts w:eastAsia="Calibri" w:cs="Arial"/>
                <w:szCs w:val="20"/>
              </w:rPr>
            </w:pPr>
            <w:r w:rsidRPr="00C85F8B">
              <w:rPr>
                <w:rFonts w:eastAsia="Calibri" w:cs="Arial"/>
                <w:szCs w:val="20"/>
              </w:rPr>
              <w:t>1 - 9% likelihood of event occurring.</w:t>
            </w:r>
          </w:p>
        </w:tc>
      </w:tr>
    </w:tbl>
    <w:p w14:paraId="104F7389" w14:textId="77777777" w:rsidR="0004427A" w:rsidRPr="00C85F8B" w:rsidRDefault="0004427A" w:rsidP="0004427A">
      <w:pPr>
        <w:spacing w:before="110" w:after="110" w:line="276" w:lineRule="auto"/>
        <w:ind w:left="426"/>
        <w:rPr>
          <w:rFonts w:eastAsia="Calibri" w:cs="Arial"/>
          <w:szCs w:val="20"/>
        </w:rPr>
      </w:pPr>
      <w:r w:rsidRPr="00C85F8B">
        <w:rPr>
          <w:rFonts w:eastAsia="Calibri" w:cs="Arial"/>
          <w:szCs w:val="20"/>
        </w:rPr>
        <w:t>These ratings have a different meaning in a technical context, and technical guidance is not to be used for the purposes of Table 1.  Where available data exists, drafters can use quantitative scales.  However, in many cases the likely extent of damage or costs or statistical data on the rate of occurrence is not available.  In these circumstances drafters need to make the best educated qualitative judgment that they can.</w:t>
      </w:r>
    </w:p>
    <w:p w14:paraId="530FFA4D" w14:textId="206DDA4D" w:rsidR="0004427A" w:rsidRPr="00C85F8B" w:rsidRDefault="0004427A" w:rsidP="0004427A">
      <w:pPr>
        <w:numPr>
          <w:ilvl w:val="0"/>
          <w:numId w:val="45"/>
        </w:numPr>
        <w:spacing w:before="110" w:after="110" w:line="276" w:lineRule="auto"/>
        <w:rPr>
          <w:rFonts w:eastAsia="Calibri" w:cs="Arial"/>
          <w:szCs w:val="20"/>
        </w:rPr>
      </w:pPr>
      <w:r w:rsidRPr="00C85F8B">
        <w:rPr>
          <w:rFonts w:eastAsia="Calibri" w:cs="Arial"/>
          <w:b/>
          <w:szCs w:val="20"/>
        </w:rPr>
        <w:t xml:space="preserve">Step 6 - Assess the consequences for each risk:  </w:t>
      </w:r>
      <w:r w:rsidRPr="00C85F8B">
        <w:rPr>
          <w:rFonts w:eastAsia="Calibri" w:cs="Arial"/>
          <w:szCs w:val="20"/>
        </w:rPr>
        <w:t>The consequences of</w:t>
      </w:r>
      <w:r w:rsidRPr="00C85F8B">
        <w:rPr>
          <w:rFonts w:eastAsia="Calibri" w:cs="Arial"/>
          <w:b/>
          <w:szCs w:val="20"/>
        </w:rPr>
        <w:t xml:space="preserve"> </w:t>
      </w:r>
      <w:r w:rsidRPr="00C85F8B">
        <w:rPr>
          <w:rFonts w:eastAsia="Calibri" w:cs="Arial"/>
          <w:szCs w:val="20"/>
        </w:rPr>
        <w:t xml:space="preserve">each identified risk should be assessed. </w:t>
      </w:r>
      <w:r w:rsidR="00C94CB7">
        <w:rPr>
          <w:rFonts w:eastAsia="Calibri" w:cs="Arial"/>
          <w:szCs w:val="20"/>
        </w:rPr>
        <w:t xml:space="preserve"> </w:t>
      </w:r>
      <w:r w:rsidRPr="00C85F8B">
        <w:rPr>
          <w:rFonts w:eastAsia="Calibri" w:cs="Arial"/>
          <w:szCs w:val="20"/>
        </w:rPr>
        <w:t>The consequence is the severity of the impact if the risk event occurs</w:t>
      </w:r>
      <w:r w:rsidR="00C94CB7">
        <w:rPr>
          <w:rFonts w:eastAsia="Calibri" w:cs="Arial"/>
          <w:szCs w:val="20"/>
        </w:rPr>
        <w:t>, and is</w:t>
      </w:r>
      <w:r w:rsidR="009D2712" w:rsidRPr="00C85F8B">
        <w:rPr>
          <w:rFonts w:eastAsia="Calibri" w:cs="Arial"/>
          <w:szCs w:val="20"/>
        </w:rPr>
        <w:t xml:space="preserve"> measured in terms of Maximum Probable Impact</w:t>
      </w:r>
      <w:r w:rsidRPr="00C85F8B">
        <w:rPr>
          <w:rFonts w:eastAsia="Calibri" w:cs="Arial"/>
          <w:szCs w:val="20"/>
        </w:rPr>
        <w:t>.  The following consequence ratings should be used:</w:t>
      </w:r>
    </w:p>
    <w:tbl>
      <w:tblPr>
        <w:tblW w:w="0" w:type="auto"/>
        <w:tblInd w:w="534"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B8CCE4"/>
        <w:tblLook w:val="04A0" w:firstRow="1" w:lastRow="0" w:firstColumn="1" w:lastColumn="0" w:noHBand="0" w:noVBand="1"/>
      </w:tblPr>
      <w:tblGrid>
        <w:gridCol w:w="7748"/>
      </w:tblGrid>
      <w:tr w:rsidR="0004427A" w:rsidRPr="00C85F8B" w14:paraId="1DE7FAEE" w14:textId="77777777" w:rsidTr="00113103">
        <w:tc>
          <w:tcPr>
            <w:tcW w:w="7994" w:type="dxa"/>
            <w:shd w:val="clear" w:color="auto" w:fill="B8CCE4"/>
          </w:tcPr>
          <w:p w14:paraId="27024A45" w14:textId="77777777" w:rsidR="0004427A" w:rsidRPr="00C85F8B" w:rsidRDefault="0004427A" w:rsidP="00113103">
            <w:pPr>
              <w:spacing w:before="40" w:after="40" w:line="276" w:lineRule="auto"/>
              <w:rPr>
                <w:rFonts w:eastAsia="Calibri" w:cs="Arial"/>
                <w:szCs w:val="20"/>
              </w:rPr>
            </w:pPr>
            <w:r w:rsidRPr="00C85F8B">
              <w:rPr>
                <w:rFonts w:eastAsia="Calibri" w:cs="Arial"/>
                <w:szCs w:val="20"/>
              </w:rPr>
              <w:t>Severe</w:t>
            </w:r>
          </w:p>
        </w:tc>
      </w:tr>
      <w:tr w:rsidR="0004427A" w:rsidRPr="00C85F8B" w14:paraId="72145004" w14:textId="77777777" w:rsidTr="00113103">
        <w:tc>
          <w:tcPr>
            <w:tcW w:w="7994" w:type="dxa"/>
            <w:shd w:val="clear" w:color="auto" w:fill="B8CCE4"/>
          </w:tcPr>
          <w:p w14:paraId="67924956" w14:textId="77777777" w:rsidR="0004427A" w:rsidRPr="00C85F8B" w:rsidRDefault="0004427A" w:rsidP="00113103">
            <w:pPr>
              <w:spacing w:before="40" w:after="40" w:line="276" w:lineRule="auto"/>
              <w:rPr>
                <w:rFonts w:eastAsia="Calibri" w:cs="Arial"/>
                <w:szCs w:val="20"/>
              </w:rPr>
            </w:pPr>
            <w:r w:rsidRPr="00C85F8B">
              <w:rPr>
                <w:rFonts w:eastAsia="Calibri" w:cs="Arial"/>
                <w:szCs w:val="20"/>
              </w:rPr>
              <w:t>Major</w:t>
            </w:r>
          </w:p>
        </w:tc>
      </w:tr>
      <w:tr w:rsidR="0004427A" w:rsidRPr="00C85F8B" w14:paraId="3259E007" w14:textId="77777777" w:rsidTr="00113103">
        <w:tc>
          <w:tcPr>
            <w:tcW w:w="7994" w:type="dxa"/>
            <w:shd w:val="clear" w:color="auto" w:fill="B8CCE4"/>
          </w:tcPr>
          <w:p w14:paraId="104E9940" w14:textId="77777777" w:rsidR="0004427A" w:rsidRPr="00C85F8B" w:rsidRDefault="0004427A" w:rsidP="00113103">
            <w:pPr>
              <w:spacing w:before="40" w:after="40" w:line="276" w:lineRule="auto"/>
              <w:rPr>
                <w:rFonts w:eastAsia="Calibri" w:cs="Arial"/>
                <w:szCs w:val="20"/>
              </w:rPr>
            </w:pPr>
            <w:r w:rsidRPr="00C85F8B">
              <w:rPr>
                <w:rFonts w:eastAsia="Calibri" w:cs="Arial"/>
                <w:szCs w:val="20"/>
              </w:rPr>
              <w:t>Moderate</w:t>
            </w:r>
          </w:p>
        </w:tc>
      </w:tr>
      <w:tr w:rsidR="0004427A" w:rsidRPr="00C85F8B" w14:paraId="7F712F79" w14:textId="77777777" w:rsidTr="00113103">
        <w:tc>
          <w:tcPr>
            <w:tcW w:w="7994" w:type="dxa"/>
            <w:shd w:val="clear" w:color="auto" w:fill="B8CCE4"/>
          </w:tcPr>
          <w:p w14:paraId="3CF433BA" w14:textId="77777777" w:rsidR="0004427A" w:rsidRPr="00C85F8B" w:rsidRDefault="0004427A" w:rsidP="00113103">
            <w:pPr>
              <w:spacing w:before="40" w:after="40" w:line="276" w:lineRule="auto"/>
              <w:rPr>
                <w:rFonts w:eastAsia="Calibri" w:cs="Arial"/>
                <w:szCs w:val="20"/>
              </w:rPr>
            </w:pPr>
            <w:r w:rsidRPr="00C85F8B">
              <w:rPr>
                <w:rFonts w:eastAsia="Calibri" w:cs="Arial"/>
                <w:szCs w:val="20"/>
              </w:rPr>
              <w:t>Minor</w:t>
            </w:r>
          </w:p>
        </w:tc>
      </w:tr>
      <w:tr w:rsidR="0004427A" w:rsidRPr="00C85F8B" w14:paraId="437B2907" w14:textId="77777777" w:rsidTr="00113103">
        <w:tc>
          <w:tcPr>
            <w:tcW w:w="7994" w:type="dxa"/>
            <w:shd w:val="clear" w:color="auto" w:fill="B8CCE4"/>
          </w:tcPr>
          <w:p w14:paraId="34372B0C" w14:textId="77777777" w:rsidR="0004427A" w:rsidRPr="00C85F8B" w:rsidRDefault="0004427A" w:rsidP="00113103">
            <w:pPr>
              <w:spacing w:before="40" w:after="40" w:line="276" w:lineRule="auto"/>
              <w:rPr>
                <w:rFonts w:eastAsia="Calibri" w:cs="Arial"/>
                <w:szCs w:val="20"/>
              </w:rPr>
            </w:pPr>
            <w:r w:rsidRPr="00C85F8B">
              <w:rPr>
                <w:rFonts w:eastAsia="Calibri" w:cs="Arial"/>
                <w:szCs w:val="20"/>
              </w:rPr>
              <w:t>Insignificant</w:t>
            </w:r>
          </w:p>
        </w:tc>
      </w:tr>
    </w:tbl>
    <w:p w14:paraId="66E1B7D3" w14:textId="7F4E3205" w:rsidR="0004427A" w:rsidRPr="00C85F8B" w:rsidRDefault="0004427A" w:rsidP="0004427A">
      <w:pPr>
        <w:spacing w:before="110" w:after="110" w:line="276" w:lineRule="auto"/>
        <w:ind w:left="426"/>
        <w:rPr>
          <w:rFonts w:eastAsia="Calibri" w:cs="Arial"/>
          <w:szCs w:val="20"/>
        </w:rPr>
      </w:pPr>
      <w:r w:rsidRPr="00C85F8B">
        <w:rPr>
          <w:rFonts w:eastAsia="Calibri" w:cs="Arial"/>
          <w:szCs w:val="20"/>
        </w:rPr>
        <w:t xml:space="preserve">The PRMM provides specific guidance against these ratings for each of the categories of risk.  Where available data exists, drafters can use quantitative scales.  However, in many cases the likely extent of damage or costs or statistical data on the rate of occurrence is not available.  In these circumstances drafters need to make the best educated qualitative judgment that they can. </w:t>
      </w:r>
      <w:r w:rsidR="00120495">
        <w:rPr>
          <w:rFonts w:eastAsia="Calibri" w:cs="Arial"/>
          <w:szCs w:val="20"/>
        </w:rPr>
        <w:t xml:space="preserve"> </w:t>
      </w:r>
      <w:r w:rsidR="009D2712" w:rsidRPr="00C85F8B">
        <w:rPr>
          <w:rFonts w:eastAsia="Calibri" w:cs="Arial"/>
          <w:szCs w:val="20"/>
        </w:rPr>
        <w:t>Realistic w</w:t>
      </w:r>
      <w:r w:rsidRPr="00C85F8B">
        <w:rPr>
          <w:rFonts w:eastAsia="Calibri" w:cs="Arial"/>
          <w:szCs w:val="20"/>
        </w:rPr>
        <w:t>orst case consequences should be used.</w:t>
      </w:r>
    </w:p>
    <w:p w14:paraId="7C560206" w14:textId="79BC1A63" w:rsidR="0004427A" w:rsidRPr="00C85F8B" w:rsidRDefault="0004427A" w:rsidP="0004427A">
      <w:pPr>
        <w:numPr>
          <w:ilvl w:val="0"/>
          <w:numId w:val="45"/>
        </w:numPr>
        <w:spacing w:before="110" w:after="110" w:line="276" w:lineRule="auto"/>
        <w:rPr>
          <w:rFonts w:eastAsia="Calibri" w:cs="Arial"/>
          <w:szCs w:val="20"/>
        </w:rPr>
      </w:pPr>
      <w:r w:rsidRPr="00C85F8B">
        <w:rPr>
          <w:rFonts w:eastAsia="Calibri" w:cs="Arial"/>
          <w:b/>
          <w:szCs w:val="20"/>
        </w:rPr>
        <w:t xml:space="preserve">Step 7: Determine a risk rating for each risk: </w:t>
      </w:r>
      <w:r w:rsidR="00C94CB7">
        <w:rPr>
          <w:rFonts w:eastAsia="Calibri" w:cs="Arial"/>
          <w:b/>
          <w:szCs w:val="20"/>
        </w:rPr>
        <w:t xml:space="preserve"> </w:t>
      </w:r>
      <w:r w:rsidRPr="00C85F8B">
        <w:rPr>
          <w:rFonts w:eastAsia="Calibri" w:cs="Arial"/>
          <w:szCs w:val="20"/>
        </w:rPr>
        <w:t xml:space="preserve">A single risk rating should be calculated for each risk by assessing the likelihood and consequence of that risk.  The rating is used </w:t>
      </w:r>
      <w:r w:rsidRPr="00C85F8B">
        <w:rPr>
          <w:rFonts w:eastAsia="Calibri" w:cs="Arial"/>
          <w:szCs w:val="20"/>
        </w:rPr>
        <w:lastRenderedPageBreak/>
        <w:t>to allocate a priority to each risk and identify the risks that can be accepted and those that must be managed.  The risk level ratings and descriptions of those ratings are:</w:t>
      </w:r>
    </w:p>
    <w:tbl>
      <w:tblPr>
        <w:tblW w:w="0" w:type="auto"/>
        <w:tblInd w:w="534" w:type="dxa"/>
        <w:tblLook w:val="04A0" w:firstRow="1" w:lastRow="0" w:firstColumn="1" w:lastColumn="0" w:noHBand="0" w:noVBand="1"/>
      </w:tblPr>
      <w:tblGrid>
        <w:gridCol w:w="1264"/>
        <w:gridCol w:w="6499"/>
      </w:tblGrid>
      <w:tr w:rsidR="0004427A" w:rsidRPr="00C85F8B" w14:paraId="02C43467" w14:textId="77777777" w:rsidTr="00113103">
        <w:tc>
          <w:tcPr>
            <w:tcW w:w="1275" w:type="dxa"/>
            <w:tcBorders>
              <w:top w:val="single" w:sz="12" w:space="0" w:color="FFFFFF"/>
              <w:left w:val="single" w:sz="12" w:space="0" w:color="FFFFFF"/>
              <w:bottom w:val="single" w:sz="12" w:space="0" w:color="FFFFFF"/>
              <w:right w:val="single" w:sz="12" w:space="0" w:color="FFFFFF"/>
            </w:tcBorders>
            <w:shd w:val="clear" w:color="auto" w:fill="FF0000"/>
            <w:vAlign w:val="center"/>
          </w:tcPr>
          <w:p w14:paraId="0A98A15C" w14:textId="77777777" w:rsidR="0004427A" w:rsidRPr="00C85F8B" w:rsidRDefault="0004427A" w:rsidP="00113103">
            <w:pPr>
              <w:spacing w:before="40" w:after="40" w:line="276" w:lineRule="auto"/>
              <w:jc w:val="center"/>
              <w:rPr>
                <w:rFonts w:eastAsia="Calibri" w:cs="Arial"/>
                <w:b/>
                <w:color w:val="FFFFFF"/>
                <w:szCs w:val="20"/>
              </w:rPr>
            </w:pPr>
            <w:r w:rsidRPr="00C85F8B">
              <w:rPr>
                <w:rFonts w:eastAsia="Calibri" w:cs="Arial"/>
                <w:b/>
                <w:color w:val="FFFFFF"/>
                <w:szCs w:val="20"/>
              </w:rPr>
              <w:t>Extreme</w:t>
            </w:r>
          </w:p>
        </w:tc>
        <w:tc>
          <w:tcPr>
            <w:tcW w:w="6719" w:type="dxa"/>
            <w:tcBorders>
              <w:top w:val="single" w:sz="8" w:space="0" w:color="4F81BD"/>
              <w:left w:val="single" w:sz="12" w:space="0" w:color="FFFFFF"/>
              <w:bottom w:val="single" w:sz="8" w:space="0" w:color="4F81BD"/>
            </w:tcBorders>
            <w:shd w:val="clear" w:color="auto" w:fill="auto"/>
          </w:tcPr>
          <w:p w14:paraId="1C72FF98" w14:textId="77777777" w:rsidR="0004427A" w:rsidRPr="00C85F8B" w:rsidRDefault="0004427A" w:rsidP="00113103">
            <w:pPr>
              <w:spacing w:before="40" w:after="40" w:line="276" w:lineRule="auto"/>
              <w:rPr>
                <w:rFonts w:eastAsia="Calibri" w:cs="Arial"/>
                <w:szCs w:val="20"/>
              </w:rPr>
            </w:pPr>
            <w:r w:rsidRPr="00C85F8B">
              <w:rPr>
                <w:rFonts w:eastAsia="Calibri" w:cs="Arial"/>
                <w:szCs w:val="20"/>
              </w:rPr>
              <w:t>The impact of this risk occurring would be so severe that the related activity would need to cease immediately.  Extreme risks need immediate mitigation strategies to be implemented.  Risk must be treated unless it is not cost effective to do so.</w:t>
            </w:r>
          </w:p>
        </w:tc>
      </w:tr>
      <w:tr w:rsidR="0004427A" w:rsidRPr="00C85F8B" w14:paraId="543DE484" w14:textId="77777777" w:rsidTr="00113103">
        <w:tc>
          <w:tcPr>
            <w:tcW w:w="1275" w:type="dxa"/>
            <w:tcBorders>
              <w:top w:val="single" w:sz="12" w:space="0" w:color="FFFFFF"/>
              <w:left w:val="single" w:sz="12" w:space="0" w:color="FFFFFF"/>
              <w:bottom w:val="single" w:sz="12" w:space="0" w:color="FFFFFF"/>
              <w:right w:val="single" w:sz="12" w:space="0" w:color="FFFFFF"/>
            </w:tcBorders>
            <w:shd w:val="clear" w:color="auto" w:fill="FFFF00"/>
            <w:vAlign w:val="center"/>
          </w:tcPr>
          <w:p w14:paraId="3C1B0027" w14:textId="77777777" w:rsidR="0004427A" w:rsidRPr="00C85F8B" w:rsidRDefault="0004427A" w:rsidP="00113103">
            <w:pPr>
              <w:spacing w:before="40" w:after="40" w:line="276" w:lineRule="auto"/>
              <w:jc w:val="center"/>
              <w:rPr>
                <w:rFonts w:eastAsia="Calibri" w:cs="Arial"/>
                <w:b/>
                <w:szCs w:val="20"/>
              </w:rPr>
            </w:pPr>
            <w:r w:rsidRPr="00C85F8B">
              <w:rPr>
                <w:rFonts w:eastAsia="Calibri" w:cs="Arial"/>
                <w:b/>
                <w:szCs w:val="20"/>
              </w:rPr>
              <w:t>High</w:t>
            </w:r>
          </w:p>
        </w:tc>
        <w:tc>
          <w:tcPr>
            <w:tcW w:w="6719" w:type="dxa"/>
            <w:tcBorders>
              <w:top w:val="single" w:sz="8" w:space="0" w:color="4F81BD"/>
              <w:left w:val="single" w:sz="12" w:space="0" w:color="FFFFFF"/>
              <w:bottom w:val="single" w:sz="8" w:space="0" w:color="4F81BD"/>
            </w:tcBorders>
            <w:shd w:val="clear" w:color="auto" w:fill="auto"/>
          </w:tcPr>
          <w:p w14:paraId="72E19C81" w14:textId="77777777" w:rsidR="0004427A" w:rsidRPr="00C85F8B" w:rsidRDefault="0004427A" w:rsidP="00113103">
            <w:pPr>
              <w:spacing w:before="40" w:after="40" w:line="276" w:lineRule="auto"/>
              <w:rPr>
                <w:rFonts w:eastAsia="Calibri" w:cs="Arial"/>
                <w:szCs w:val="20"/>
              </w:rPr>
            </w:pPr>
            <w:r w:rsidRPr="00C85F8B">
              <w:rPr>
                <w:rFonts w:eastAsia="Calibri" w:cs="Arial"/>
                <w:szCs w:val="20"/>
              </w:rPr>
              <w:t>This type of risk cannot be accepted.  Treatment strategies aimed at reducing the risk level should be developed and implemented as soon as possible.  Risk must be treated unless it is not cost effective to do so.</w:t>
            </w:r>
          </w:p>
        </w:tc>
      </w:tr>
      <w:tr w:rsidR="0004427A" w:rsidRPr="00C85F8B" w14:paraId="0D34FF77" w14:textId="77777777" w:rsidTr="00113103">
        <w:tc>
          <w:tcPr>
            <w:tcW w:w="1275" w:type="dxa"/>
            <w:tcBorders>
              <w:top w:val="single" w:sz="12" w:space="0" w:color="FFFFFF"/>
              <w:left w:val="single" w:sz="12" w:space="0" w:color="FFFFFF"/>
              <w:bottom w:val="single" w:sz="12" w:space="0" w:color="FFFFFF"/>
              <w:right w:val="single" w:sz="12" w:space="0" w:color="FFFFFF"/>
            </w:tcBorders>
            <w:shd w:val="clear" w:color="auto" w:fill="0070C0"/>
            <w:vAlign w:val="center"/>
          </w:tcPr>
          <w:p w14:paraId="65748C45" w14:textId="77777777" w:rsidR="0004427A" w:rsidRPr="00C85F8B" w:rsidRDefault="0004427A" w:rsidP="00113103">
            <w:pPr>
              <w:spacing w:before="40" w:after="40" w:line="276" w:lineRule="auto"/>
              <w:jc w:val="center"/>
              <w:rPr>
                <w:rFonts w:eastAsia="Calibri" w:cs="Arial"/>
                <w:b/>
                <w:color w:val="FFFFFF"/>
                <w:szCs w:val="20"/>
              </w:rPr>
            </w:pPr>
            <w:r w:rsidRPr="00C85F8B">
              <w:rPr>
                <w:rFonts w:eastAsia="Calibri" w:cs="Arial"/>
                <w:b/>
                <w:color w:val="FFFFFF"/>
                <w:szCs w:val="20"/>
              </w:rPr>
              <w:t>Medium</w:t>
            </w:r>
          </w:p>
        </w:tc>
        <w:tc>
          <w:tcPr>
            <w:tcW w:w="6719" w:type="dxa"/>
            <w:tcBorders>
              <w:top w:val="single" w:sz="8" w:space="0" w:color="4F81BD"/>
              <w:left w:val="single" w:sz="12" w:space="0" w:color="FFFFFF"/>
              <w:bottom w:val="single" w:sz="8" w:space="0" w:color="4F81BD"/>
            </w:tcBorders>
            <w:shd w:val="clear" w:color="auto" w:fill="auto"/>
          </w:tcPr>
          <w:p w14:paraId="4336179F" w14:textId="77777777" w:rsidR="0004427A" w:rsidRPr="00C85F8B" w:rsidRDefault="0004427A" w:rsidP="00113103">
            <w:pPr>
              <w:spacing w:before="40" w:after="40" w:line="276" w:lineRule="auto"/>
              <w:rPr>
                <w:rFonts w:eastAsia="Calibri" w:cs="Arial"/>
                <w:szCs w:val="20"/>
              </w:rPr>
            </w:pPr>
            <w:r w:rsidRPr="00C85F8B">
              <w:rPr>
                <w:rFonts w:eastAsia="Calibri" w:cs="Arial"/>
                <w:szCs w:val="20"/>
              </w:rPr>
              <w:t>This level of risk can be accepted if there are no treatment strategies that can be easily and economically implemented.  The risk must be regularly monitored to ensure that any change in circumstances is detected and acted upon appropriately.</w:t>
            </w:r>
          </w:p>
        </w:tc>
      </w:tr>
      <w:tr w:rsidR="0004427A" w:rsidRPr="00C85F8B" w14:paraId="437E7DDF" w14:textId="77777777" w:rsidTr="00113103">
        <w:tc>
          <w:tcPr>
            <w:tcW w:w="1275" w:type="dxa"/>
            <w:tcBorders>
              <w:top w:val="single" w:sz="12" w:space="0" w:color="FFFFFF"/>
              <w:left w:val="single" w:sz="12" w:space="0" w:color="FFFFFF"/>
              <w:bottom w:val="single" w:sz="12" w:space="0" w:color="FFFFFF"/>
              <w:right w:val="single" w:sz="12" w:space="0" w:color="FFFFFF"/>
            </w:tcBorders>
            <w:shd w:val="clear" w:color="auto" w:fill="55FF19"/>
            <w:vAlign w:val="center"/>
          </w:tcPr>
          <w:p w14:paraId="45391D65" w14:textId="77777777" w:rsidR="0004427A" w:rsidRPr="00C85F8B" w:rsidRDefault="0004427A" w:rsidP="00113103">
            <w:pPr>
              <w:spacing w:before="40" w:after="40" w:line="276" w:lineRule="auto"/>
              <w:jc w:val="center"/>
              <w:rPr>
                <w:rFonts w:eastAsia="Calibri" w:cs="Arial"/>
                <w:b/>
                <w:szCs w:val="20"/>
              </w:rPr>
            </w:pPr>
            <w:r w:rsidRPr="00C85F8B">
              <w:rPr>
                <w:rFonts w:eastAsia="Calibri" w:cs="Arial"/>
                <w:b/>
                <w:szCs w:val="20"/>
              </w:rPr>
              <w:t>Low</w:t>
            </w:r>
          </w:p>
        </w:tc>
        <w:tc>
          <w:tcPr>
            <w:tcW w:w="6719" w:type="dxa"/>
            <w:tcBorders>
              <w:top w:val="single" w:sz="8" w:space="0" w:color="4F81BD"/>
              <w:left w:val="single" w:sz="12" w:space="0" w:color="FFFFFF"/>
              <w:bottom w:val="single" w:sz="8" w:space="0" w:color="4F81BD"/>
            </w:tcBorders>
            <w:shd w:val="clear" w:color="auto" w:fill="auto"/>
          </w:tcPr>
          <w:p w14:paraId="3B298921" w14:textId="77777777" w:rsidR="0004427A" w:rsidRPr="00C85F8B" w:rsidRDefault="0004427A" w:rsidP="00113103">
            <w:pPr>
              <w:spacing w:before="40" w:after="40" w:line="276" w:lineRule="auto"/>
              <w:rPr>
                <w:rFonts w:eastAsia="Calibri" w:cs="Arial"/>
                <w:szCs w:val="20"/>
              </w:rPr>
            </w:pPr>
            <w:r w:rsidRPr="00C85F8B">
              <w:rPr>
                <w:rFonts w:eastAsia="Calibri" w:cs="Arial"/>
                <w:szCs w:val="20"/>
              </w:rPr>
              <w:t xml:space="preserve">This level of risk can be accepted if there are no treatment strategies that can be easily and economically implemented.  The risk must be periodically monitored, however, to ensure that any change in circumstances is detected and acted upon appropriately.  </w:t>
            </w:r>
          </w:p>
        </w:tc>
      </w:tr>
    </w:tbl>
    <w:p w14:paraId="66AFA768" w14:textId="77777777" w:rsidR="0004427A" w:rsidRPr="00C85F8B" w:rsidRDefault="0004427A" w:rsidP="00B843E9">
      <w:pPr>
        <w:spacing w:before="110" w:after="110" w:line="276" w:lineRule="auto"/>
        <w:ind w:left="426"/>
        <w:rPr>
          <w:rFonts w:eastAsia="Calibri" w:cs="Arial"/>
          <w:szCs w:val="20"/>
        </w:rPr>
      </w:pPr>
      <w:r w:rsidRPr="00C85F8B">
        <w:rPr>
          <w:rFonts w:eastAsia="Calibri" w:cs="Arial"/>
          <w:szCs w:val="20"/>
        </w:rPr>
        <w:t>The risk level ratings are determined in accordance with the following matrix:</w:t>
      </w:r>
    </w:p>
    <w:p w14:paraId="7BB620FC" w14:textId="77777777" w:rsidR="0004427A" w:rsidRPr="00C85F8B" w:rsidRDefault="000F3720" w:rsidP="0004427A">
      <w:pPr>
        <w:spacing w:before="110" w:after="110" w:line="276" w:lineRule="auto"/>
        <w:jc w:val="center"/>
        <w:rPr>
          <w:rFonts w:eastAsia="Calibri" w:cs="Arial"/>
          <w:szCs w:val="20"/>
        </w:rPr>
      </w:pPr>
      <w:r w:rsidRPr="00C85F8B">
        <w:rPr>
          <w:rFonts w:eastAsia="Calibri"/>
          <w:noProof/>
          <w:szCs w:val="20"/>
        </w:rPr>
        <w:drawing>
          <wp:inline distT="0" distB="0" distL="0" distR="0" wp14:anchorId="4323552A" wp14:editId="3D86F53D">
            <wp:extent cx="4371975" cy="23241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71975" cy="2324100"/>
                    </a:xfrm>
                    <a:prstGeom prst="rect">
                      <a:avLst/>
                    </a:prstGeom>
                    <a:noFill/>
                    <a:ln>
                      <a:noFill/>
                    </a:ln>
                  </pic:spPr>
                </pic:pic>
              </a:graphicData>
            </a:graphic>
          </wp:inline>
        </w:drawing>
      </w:r>
    </w:p>
    <w:p w14:paraId="151C6C72" w14:textId="75E1F149" w:rsidR="0004427A" w:rsidRPr="00C85F8B" w:rsidRDefault="0004427A" w:rsidP="00C85F8B">
      <w:pPr>
        <w:spacing w:before="110" w:after="110" w:line="276" w:lineRule="auto"/>
        <w:ind w:left="426"/>
        <w:rPr>
          <w:rFonts w:eastAsia="Calibri" w:cs="Arial"/>
          <w:szCs w:val="20"/>
        </w:rPr>
      </w:pPr>
      <w:r w:rsidRPr="00C85F8B">
        <w:rPr>
          <w:rFonts w:eastAsia="Calibri" w:cs="Arial"/>
          <w:szCs w:val="20"/>
        </w:rPr>
        <w:t xml:space="preserve">Once the risks have been analysed, they can be evaluated against each other to determine the priority of treatment.  The criteria used will depend on the procurement, but generally speaking higher risks are treated before lower risks.  Some risks will need to be priorities in all circumstances, for example safety risks and compliance with government legislation. </w:t>
      </w:r>
      <w:r w:rsidR="00120495">
        <w:rPr>
          <w:rFonts w:eastAsia="Calibri" w:cs="Arial"/>
          <w:szCs w:val="20"/>
        </w:rPr>
        <w:t xml:space="preserve"> </w:t>
      </w:r>
      <w:r w:rsidRPr="00C85F8B">
        <w:rPr>
          <w:rFonts w:eastAsia="Calibri" w:cs="Arial"/>
          <w:szCs w:val="20"/>
        </w:rPr>
        <w:t>For further guidance on risk analysis, refer to Chapter 3.5 of the PRMM.</w:t>
      </w:r>
    </w:p>
    <w:p w14:paraId="7E78FF7E" w14:textId="7A69F4C0" w:rsidR="0004427A" w:rsidRPr="00C85F8B" w:rsidRDefault="0004427A" w:rsidP="0004427A">
      <w:pPr>
        <w:numPr>
          <w:ilvl w:val="0"/>
          <w:numId w:val="45"/>
        </w:numPr>
        <w:spacing w:before="110" w:after="110" w:line="276" w:lineRule="auto"/>
        <w:rPr>
          <w:rFonts w:eastAsia="Calibri" w:cs="Arial"/>
          <w:szCs w:val="20"/>
        </w:rPr>
      </w:pPr>
      <w:r w:rsidRPr="00C85F8B">
        <w:rPr>
          <w:rFonts w:eastAsia="Calibri" w:cs="Arial"/>
          <w:b/>
          <w:szCs w:val="20"/>
        </w:rPr>
        <w:t>Step 8: Identify risk controls and treatments</w:t>
      </w:r>
      <w:r w:rsidRPr="00C85F8B">
        <w:rPr>
          <w:rFonts w:eastAsia="Calibri" w:cs="Arial"/>
          <w:szCs w:val="20"/>
        </w:rPr>
        <w:t xml:space="preserve">: </w:t>
      </w:r>
      <w:r w:rsidR="00D2234F">
        <w:rPr>
          <w:rFonts w:eastAsia="Calibri" w:cs="Arial"/>
          <w:szCs w:val="20"/>
        </w:rPr>
        <w:t xml:space="preserve"> </w:t>
      </w:r>
      <w:r w:rsidRPr="00C85F8B">
        <w:rPr>
          <w:rFonts w:eastAsia="Calibri" w:cs="Arial"/>
          <w:szCs w:val="20"/>
        </w:rPr>
        <w:t xml:space="preserve">The last step in the process is to identify an appropriate treatment or controls for each risk.  This involves planning for how each identified risk will be handled. </w:t>
      </w:r>
      <w:r w:rsidR="00120495">
        <w:rPr>
          <w:rFonts w:eastAsia="Calibri" w:cs="Arial"/>
          <w:szCs w:val="20"/>
        </w:rPr>
        <w:t xml:space="preserve"> </w:t>
      </w:r>
      <w:r w:rsidRPr="00C85F8B">
        <w:rPr>
          <w:rFonts w:eastAsia="Calibri" w:cs="Arial"/>
          <w:szCs w:val="20"/>
        </w:rPr>
        <w:t xml:space="preserve">Some risks may not need to be treated as the likelihood of occurrence is so improbable or the cost of treating the risk outweighs the probable consequence of the risk.  Other risks may require immediate treatment, particularly safety risks or the risk of non-compliance with legislation.  Yet other risks may not be treatable by Defence, but a contractor may be able to provide an effective treatment. </w:t>
      </w:r>
      <w:r w:rsidR="00120495">
        <w:rPr>
          <w:rFonts w:eastAsia="Calibri" w:cs="Arial"/>
          <w:szCs w:val="20"/>
        </w:rPr>
        <w:t xml:space="preserve"> </w:t>
      </w:r>
      <w:r w:rsidRPr="00C85F8B">
        <w:rPr>
          <w:rFonts w:eastAsia="Calibri" w:cs="Arial"/>
          <w:szCs w:val="20"/>
        </w:rPr>
        <w:t>To select an appropriate risk treatment</w:t>
      </w:r>
      <w:r w:rsidR="00120495">
        <w:rPr>
          <w:rFonts w:eastAsia="Calibri" w:cs="Arial"/>
          <w:szCs w:val="20"/>
        </w:rPr>
        <w:t>,</w:t>
      </w:r>
      <w:r w:rsidRPr="00C85F8B">
        <w:rPr>
          <w:rFonts w:eastAsia="Calibri" w:cs="Arial"/>
          <w:szCs w:val="20"/>
        </w:rPr>
        <w:t xml:space="preserve"> Defence personnel should:</w:t>
      </w:r>
    </w:p>
    <w:p w14:paraId="02EE79D1" w14:textId="77777777" w:rsidR="0004427A" w:rsidRPr="00C85F8B" w:rsidRDefault="0004427A" w:rsidP="0004427A">
      <w:pPr>
        <w:numPr>
          <w:ilvl w:val="0"/>
          <w:numId w:val="47"/>
        </w:numPr>
        <w:spacing w:before="110" w:after="110" w:line="276" w:lineRule="auto"/>
        <w:ind w:left="709"/>
        <w:rPr>
          <w:rFonts w:eastAsia="Calibri" w:cs="Arial"/>
          <w:szCs w:val="20"/>
        </w:rPr>
      </w:pPr>
      <w:r w:rsidRPr="00C85F8B">
        <w:rPr>
          <w:rFonts w:eastAsia="Calibri" w:cs="Arial"/>
          <w:szCs w:val="20"/>
        </w:rPr>
        <w:t>identify risk treatment options;</w:t>
      </w:r>
    </w:p>
    <w:p w14:paraId="11C3EFEA" w14:textId="77777777" w:rsidR="0004427A" w:rsidRPr="00C85F8B" w:rsidRDefault="0004427A" w:rsidP="0004427A">
      <w:pPr>
        <w:numPr>
          <w:ilvl w:val="0"/>
          <w:numId w:val="47"/>
        </w:numPr>
        <w:spacing w:before="110" w:after="110" w:line="276" w:lineRule="auto"/>
        <w:ind w:left="709"/>
        <w:rPr>
          <w:rFonts w:eastAsia="Calibri" w:cs="Arial"/>
          <w:szCs w:val="20"/>
        </w:rPr>
      </w:pPr>
      <w:r w:rsidRPr="00C85F8B">
        <w:rPr>
          <w:rFonts w:eastAsia="Calibri" w:cs="Arial"/>
          <w:szCs w:val="20"/>
        </w:rPr>
        <w:t>estimate the effect of treatment on the assessed likelihood and consequence;</w:t>
      </w:r>
    </w:p>
    <w:p w14:paraId="24D7A533" w14:textId="77777777" w:rsidR="0004427A" w:rsidRPr="00C85F8B" w:rsidRDefault="0004427A" w:rsidP="0004427A">
      <w:pPr>
        <w:numPr>
          <w:ilvl w:val="0"/>
          <w:numId w:val="47"/>
        </w:numPr>
        <w:spacing w:before="110" w:after="110" w:line="276" w:lineRule="auto"/>
        <w:ind w:left="709"/>
        <w:rPr>
          <w:rFonts w:eastAsia="Calibri" w:cs="Arial"/>
          <w:szCs w:val="20"/>
        </w:rPr>
      </w:pPr>
      <w:r w:rsidRPr="00C85F8B">
        <w:rPr>
          <w:rFonts w:eastAsia="Calibri" w:cs="Arial"/>
          <w:szCs w:val="20"/>
        </w:rPr>
        <w:lastRenderedPageBreak/>
        <w:t>estimate the residual risk exposure;</w:t>
      </w:r>
    </w:p>
    <w:p w14:paraId="7FE9610D" w14:textId="77777777" w:rsidR="0004427A" w:rsidRPr="00C85F8B" w:rsidRDefault="0004427A" w:rsidP="0004427A">
      <w:pPr>
        <w:numPr>
          <w:ilvl w:val="0"/>
          <w:numId w:val="47"/>
        </w:numPr>
        <w:spacing w:before="110" w:after="110" w:line="276" w:lineRule="auto"/>
        <w:ind w:left="709"/>
        <w:rPr>
          <w:rFonts w:eastAsia="Calibri" w:cs="Arial"/>
          <w:szCs w:val="20"/>
        </w:rPr>
      </w:pPr>
      <w:r w:rsidRPr="00C85F8B">
        <w:rPr>
          <w:rFonts w:eastAsia="Calibri" w:cs="Arial"/>
          <w:szCs w:val="20"/>
        </w:rPr>
        <w:t>appraise the cost-effectiveness; and</w:t>
      </w:r>
    </w:p>
    <w:p w14:paraId="373D3386" w14:textId="77777777" w:rsidR="0004427A" w:rsidRPr="00C85F8B" w:rsidRDefault="0004427A" w:rsidP="0004427A">
      <w:pPr>
        <w:numPr>
          <w:ilvl w:val="0"/>
          <w:numId w:val="47"/>
        </w:numPr>
        <w:spacing w:before="110" w:after="110" w:line="276" w:lineRule="auto"/>
        <w:ind w:left="709"/>
        <w:rPr>
          <w:rFonts w:eastAsia="Calibri" w:cs="Arial"/>
          <w:szCs w:val="20"/>
        </w:rPr>
      </w:pPr>
      <w:r w:rsidRPr="00C85F8B">
        <w:rPr>
          <w:rFonts w:eastAsia="Calibri" w:cs="Arial"/>
          <w:szCs w:val="20"/>
        </w:rPr>
        <w:t>select the preferred treatment option.</w:t>
      </w:r>
    </w:p>
    <w:p w14:paraId="41EE62A3" w14:textId="77777777" w:rsidR="0004427A" w:rsidRPr="00C85F8B" w:rsidRDefault="0004427A">
      <w:pPr>
        <w:rPr>
          <w:szCs w:val="20"/>
        </w:rPr>
      </w:pPr>
    </w:p>
    <w:sectPr w:rsidR="0004427A" w:rsidRPr="00C85F8B" w:rsidSect="006D4A46">
      <w:headerReference w:type="default" r:id="rId24"/>
      <w:footerReference w:type="default" r:id="rId25"/>
      <w:pgSz w:w="11906" w:h="16838"/>
      <w:pgMar w:top="1440" w:right="1797" w:bottom="1440" w:left="179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E3A1D" w14:textId="77777777" w:rsidR="000A7264" w:rsidRDefault="000A7264" w:rsidP="004C6475">
      <w:pPr>
        <w:pStyle w:val="Default"/>
      </w:pPr>
      <w:r>
        <w:separator/>
      </w:r>
    </w:p>
  </w:endnote>
  <w:endnote w:type="continuationSeparator" w:id="0">
    <w:p w14:paraId="0FE3F91B" w14:textId="77777777" w:rsidR="000A7264" w:rsidRDefault="000A7264" w:rsidP="004C6475">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4156"/>
      <w:gridCol w:w="4156"/>
    </w:tblGrid>
    <w:tr w:rsidR="000A7264" w14:paraId="7E791DE0" w14:textId="77777777" w:rsidTr="00F758C1">
      <w:tc>
        <w:tcPr>
          <w:tcW w:w="2500" w:type="pct"/>
        </w:tcPr>
        <w:p w14:paraId="05483856" w14:textId="77777777" w:rsidR="000A7264" w:rsidRDefault="000A7264" w:rsidP="00F758C1">
          <w:pPr>
            <w:pStyle w:val="ASDEFCONHeaderFooterLeft"/>
          </w:pPr>
        </w:p>
      </w:tc>
      <w:tc>
        <w:tcPr>
          <w:tcW w:w="2500" w:type="pct"/>
        </w:tcPr>
        <w:p w14:paraId="3EA5ECC5" w14:textId="7AA7F527" w:rsidR="000A7264" w:rsidRDefault="000A7264" w:rsidP="00F758C1">
          <w:pPr>
            <w:pStyle w:val="ASDEFCONHeaderFooterRight"/>
          </w:pPr>
          <w:r w:rsidRPr="00B15F15">
            <w:rPr>
              <w:rStyle w:val="PageNumber"/>
              <w:szCs w:val="24"/>
            </w:rPr>
            <w:fldChar w:fldCharType="begin"/>
          </w:r>
          <w:r w:rsidRPr="00B15F15">
            <w:rPr>
              <w:rStyle w:val="PageNumber"/>
              <w:szCs w:val="24"/>
            </w:rPr>
            <w:instrText xml:space="preserve"> PAGE </w:instrText>
          </w:r>
          <w:r w:rsidRPr="00B15F15">
            <w:rPr>
              <w:rStyle w:val="PageNumber"/>
              <w:szCs w:val="24"/>
            </w:rPr>
            <w:fldChar w:fldCharType="separate"/>
          </w:r>
          <w:r w:rsidR="003B6005">
            <w:rPr>
              <w:rStyle w:val="PageNumber"/>
              <w:noProof/>
              <w:szCs w:val="24"/>
            </w:rPr>
            <w:t>2</w:t>
          </w:r>
          <w:r w:rsidRPr="00B15F15">
            <w:rPr>
              <w:rStyle w:val="PageNumber"/>
              <w:szCs w:val="24"/>
            </w:rPr>
            <w:fldChar w:fldCharType="end"/>
          </w:r>
        </w:p>
      </w:tc>
    </w:tr>
    <w:tr w:rsidR="000A7264" w14:paraId="3DD27FFF" w14:textId="77777777" w:rsidTr="00F758C1">
      <w:tc>
        <w:tcPr>
          <w:tcW w:w="5000" w:type="pct"/>
          <w:gridSpan w:val="2"/>
        </w:tcPr>
        <w:p w14:paraId="077C1230" w14:textId="77777777" w:rsidR="000A7264" w:rsidRDefault="000A7264" w:rsidP="00F758C1">
          <w:pPr>
            <w:pStyle w:val="ASDEFCONHeaderFooterClassification"/>
          </w:pPr>
        </w:p>
      </w:tc>
    </w:tr>
  </w:tbl>
  <w:p w14:paraId="4F853B31" w14:textId="77777777" w:rsidR="000A7264" w:rsidRPr="00F758C1" w:rsidRDefault="000A7264" w:rsidP="00F758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810627"/>
      <w:docPartObj>
        <w:docPartGallery w:val="Page Numbers (Bottom of Page)"/>
        <w:docPartUnique/>
      </w:docPartObj>
    </w:sdtPr>
    <w:sdtEndPr>
      <w:rPr>
        <w:noProof/>
        <w:sz w:val="16"/>
        <w:szCs w:val="16"/>
      </w:rPr>
    </w:sdtEndPr>
    <w:sdtContent>
      <w:p w14:paraId="547FE4B1" w14:textId="6650E884" w:rsidR="000A7264" w:rsidRPr="006F70A8" w:rsidRDefault="000A7264" w:rsidP="00CA1814">
        <w:pPr>
          <w:pStyle w:val="Footer"/>
          <w:tabs>
            <w:tab w:val="clear" w:pos="4153"/>
            <w:tab w:val="clear" w:pos="8306"/>
            <w:tab w:val="left" w:pos="0"/>
            <w:tab w:val="right" w:pos="13948"/>
          </w:tabs>
          <w:rPr>
            <w:sz w:val="16"/>
            <w:szCs w:val="16"/>
          </w:rPr>
        </w:pPr>
        <w:r w:rsidRPr="006F70A8">
          <w:rPr>
            <w:sz w:val="16"/>
            <w:szCs w:val="16"/>
          </w:rPr>
          <w:t>[INSERT RFT/CONTRACT NAME AND NUMBER]</w:t>
        </w:r>
        <w:r w:rsidRPr="006F70A8">
          <w:rPr>
            <w:sz w:val="16"/>
            <w:szCs w:val="16"/>
          </w:rPr>
          <w:tab/>
        </w:r>
        <w:r w:rsidRPr="006F70A8">
          <w:rPr>
            <w:sz w:val="16"/>
            <w:szCs w:val="16"/>
          </w:rPr>
          <w:fldChar w:fldCharType="begin"/>
        </w:r>
        <w:r w:rsidRPr="006F70A8">
          <w:rPr>
            <w:sz w:val="16"/>
            <w:szCs w:val="16"/>
          </w:rPr>
          <w:instrText xml:space="preserve"> PAGE   \* MERGEFORMAT </w:instrText>
        </w:r>
        <w:r w:rsidRPr="006F70A8">
          <w:rPr>
            <w:sz w:val="16"/>
            <w:szCs w:val="16"/>
          </w:rPr>
          <w:fldChar w:fldCharType="separate"/>
        </w:r>
        <w:r w:rsidR="003B6005">
          <w:rPr>
            <w:noProof/>
            <w:sz w:val="16"/>
            <w:szCs w:val="16"/>
          </w:rPr>
          <w:t>21</w:t>
        </w:r>
        <w:r w:rsidRPr="006F70A8">
          <w:rPr>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A181B" w14:textId="4FCAABFB" w:rsidR="000A7264" w:rsidRPr="006F70A8" w:rsidRDefault="000A7264" w:rsidP="006F70A8">
    <w:pPr>
      <w:pStyle w:val="Footer"/>
      <w:tabs>
        <w:tab w:val="clear" w:pos="4153"/>
      </w:tabs>
      <w:rPr>
        <w:sz w:val="16"/>
        <w:szCs w:val="16"/>
      </w:rPr>
    </w:pPr>
    <w:r w:rsidRPr="006F70A8">
      <w:rPr>
        <w:sz w:val="16"/>
        <w:szCs w:val="16"/>
      </w:rPr>
      <w:t>[INSERT RFT/CONTRACT NAME AND NUMBER]</w:t>
    </w:r>
    <w:r w:rsidRPr="006F70A8">
      <w:rPr>
        <w:sz w:val="16"/>
        <w:szCs w:val="16"/>
      </w:rPr>
      <w:tab/>
    </w:r>
    <w:r w:rsidRPr="006F70A8">
      <w:rPr>
        <w:sz w:val="16"/>
        <w:szCs w:val="16"/>
      </w:rPr>
      <w:fldChar w:fldCharType="begin"/>
    </w:r>
    <w:r w:rsidRPr="006F70A8">
      <w:rPr>
        <w:sz w:val="16"/>
        <w:szCs w:val="16"/>
      </w:rPr>
      <w:instrText xml:space="preserve"> PAGE   \* MERGEFORMAT </w:instrText>
    </w:r>
    <w:r w:rsidRPr="006F70A8">
      <w:rPr>
        <w:sz w:val="16"/>
        <w:szCs w:val="16"/>
      </w:rPr>
      <w:fldChar w:fldCharType="separate"/>
    </w:r>
    <w:r w:rsidR="003B6005">
      <w:rPr>
        <w:noProof/>
        <w:sz w:val="16"/>
        <w:szCs w:val="16"/>
      </w:rPr>
      <w:t>26</w:t>
    </w:r>
    <w:r w:rsidRPr="006F70A8">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D77D4" w14:textId="77777777" w:rsidR="000A7264" w:rsidRDefault="000A7264" w:rsidP="004C6475">
      <w:pPr>
        <w:pStyle w:val="Default"/>
      </w:pPr>
      <w:r>
        <w:separator/>
      </w:r>
    </w:p>
  </w:footnote>
  <w:footnote w:type="continuationSeparator" w:id="0">
    <w:p w14:paraId="5339094D" w14:textId="77777777" w:rsidR="000A7264" w:rsidRDefault="000A7264" w:rsidP="004C6475">
      <w:pPr>
        <w:pStyle w:val="Default"/>
      </w:pPr>
      <w:r>
        <w:continuationSeparator/>
      </w:r>
    </w:p>
  </w:footnote>
  <w:footnote w:id="1">
    <w:p w14:paraId="44B9647B" w14:textId="24994CA3" w:rsidR="000A7264" w:rsidRDefault="000A7264">
      <w:pPr>
        <w:pStyle w:val="FootnoteText"/>
      </w:pPr>
      <w:r>
        <w:rPr>
          <w:rStyle w:val="FootnoteReference"/>
        </w:rPr>
        <w:footnoteRef/>
      </w:r>
      <w:r>
        <w:t xml:space="preserve"> </w:t>
      </w:r>
      <w:hyperlink r:id="rId1" w:history="1">
        <w:r>
          <w:rPr>
            <w:rStyle w:val="Hyperlink"/>
          </w:rPr>
          <w:t>Best Practice Regulation Guidance Note: Value of statistical life, December 2014</w:t>
        </w:r>
      </w:hyperlink>
      <w:r>
        <w:t>, adjusted to June 2018 CPI.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4156"/>
      <w:gridCol w:w="4156"/>
    </w:tblGrid>
    <w:tr w:rsidR="000A7264" w14:paraId="03CB11D8" w14:textId="77777777" w:rsidTr="00F758C1">
      <w:tc>
        <w:tcPr>
          <w:tcW w:w="5000" w:type="pct"/>
          <w:gridSpan w:val="2"/>
        </w:tcPr>
        <w:p w14:paraId="7AD97785" w14:textId="77777777" w:rsidR="000A7264" w:rsidRDefault="000A7264" w:rsidP="00F758C1">
          <w:pPr>
            <w:pStyle w:val="ASDEFCONHeaderFooterClassification"/>
          </w:pPr>
        </w:p>
      </w:tc>
    </w:tr>
    <w:tr w:rsidR="000A7264" w14:paraId="72475D03" w14:textId="77777777" w:rsidTr="00F758C1">
      <w:tc>
        <w:tcPr>
          <w:tcW w:w="2500" w:type="pct"/>
        </w:tcPr>
        <w:p w14:paraId="20784DEF" w14:textId="77777777" w:rsidR="000A7264" w:rsidRDefault="000A7264" w:rsidP="00F758C1">
          <w:pPr>
            <w:pStyle w:val="ASDEFCONHeaderFooterLeft"/>
          </w:pPr>
        </w:p>
      </w:tc>
      <w:tc>
        <w:tcPr>
          <w:tcW w:w="2500" w:type="pct"/>
        </w:tcPr>
        <w:p w14:paraId="425281B9" w14:textId="77777777" w:rsidR="000A7264" w:rsidRDefault="000A7264" w:rsidP="00F758C1">
          <w:pPr>
            <w:pStyle w:val="ASDEFCONHeaderFooterRight"/>
          </w:pPr>
        </w:p>
      </w:tc>
    </w:tr>
  </w:tbl>
  <w:p w14:paraId="36C82EE2" w14:textId="77777777" w:rsidR="000A7264" w:rsidRPr="00F758C1" w:rsidRDefault="000A7264" w:rsidP="00F758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7140"/>
      <w:gridCol w:w="7140"/>
    </w:tblGrid>
    <w:tr w:rsidR="000A7264" w14:paraId="6D40D1DE" w14:textId="77777777" w:rsidTr="00B15F15">
      <w:tc>
        <w:tcPr>
          <w:tcW w:w="5000" w:type="pct"/>
          <w:gridSpan w:val="2"/>
        </w:tcPr>
        <w:p w14:paraId="44C5A467" w14:textId="77777777" w:rsidR="000A7264" w:rsidRPr="000F3720" w:rsidRDefault="000A7264" w:rsidP="000F3720">
          <w:pPr>
            <w:pStyle w:val="ASDEFCONHeaderFooterClassification"/>
          </w:pPr>
          <w:r>
            <w:t>[INSERT CLASSIFICATION]</w:t>
          </w:r>
        </w:p>
      </w:tc>
    </w:tr>
    <w:tr w:rsidR="000A7264" w14:paraId="25693ED0" w14:textId="77777777" w:rsidTr="00B15F15">
      <w:tc>
        <w:tcPr>
          <w:tcW w:w="2500" w:type="pct"/>
        </w:tcPr>
        <w:p w14:paraId="6AC0124E" w14:textId="6A8FDB86" w:rsidR="000A7264" w:rsidRDefault="000A7264" w:rsidP="00B15F15">
          <w:pPr>
            <w:pStyle w:val="ASDEFCONHeaderFooterLeft"/>
          </w:pPr>
          <w:r>
            <w:t>Liability Risk Assessment</w:t>
          </w:r>
          <w:r>
            <w:fldChar w:fldCharType="begin"/>
          </w:r>
          <w:r>
            <w:instrText xml:space="preserve"> DOCPROPERTY Header_Left </w:instrText>
          </w:r>
          <w:r>
            <w:fldChar w:fldCharType="end"/>
          </w:r>
        </w:p>
      </w:tc>
      <w:tc>
        <w:tcPr>
          <w:tcW w:w="2500" w:type="pct"/>
        </w:tcPr>
        <w:p w14:paraId="658B2076" w14:textId="206290AF" w:rsidR="000A7264" w:rsidRDefault="000A7264" w:rsidP="00B15F15">
          <w:pPr>
            <w:pStyle w:val="ASDEFCONHeaderFooterRight"/>
          </w:pPr>
          <w:r>
            <w:fldChar w:fldCharType="begin"/>
          </w:r>
          <w:r>
            <w:instrText xml:space="preserve"> DOCPROPERTY Header_Right </w:instrText>
          </w:r>
          <w:r>
            <w:fldChar w:fldCharType="end"/>
          </w:r>
          <w:r>
            <w:t>[INSERT DATE OF ASSESSMENT]</w:t>
          </w:r>
        </w:p>
      </w:tc>
    </w:tr>
  </w:tbl>
  <w:p w14:paraId="519B7346" w14:textId="77777777" w:rsidR="000A7264" w:rsidRPr="00B15F15" w:rsidRDefault="000A7264" w:rsidP="000F37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C9166" w14:textId="2E0C241C" w:rsidR="000A7264" w:rsidRPr="006F70A8" w:rsidRDefault="000A7264" w:rsidP="00CA1814">
    <w:pPr>
      <w:pStyle w:val="Header"/>
      <w:tabs>
        <w:tab w:val="clear" w:pos="4153"/>
      </w:tabs>
      <w:rPr>
        <w:sz w:val="16"/>
        <w:szCs w:val="16"/>
      </w:rPr>
    </w:pPr>
    <w:r w:rsidRPr="006F70A8">
      <w:rPr>
        <w:sz w:val="16"/>
        <w:szCs w:val="16"/>
      </w:rPr>
      <w:t>Liability Risk Assessment</w:t>
    </w:r>
    <w:r w:rsidRPr="006F70A8">
      <w:rPr>
        <w:sz w:val="16"/>
        <w:szCs w:val="16"/>
      </w:rPr>
      <w:tab/>
      <w:t>[INSERT DATE OF ASSESSMENT]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32CB"/>
    <w:multiLevelType w:val="singleLevel"/>
    <w:tmpl w:val="5CC6A054"/>
    <w:lvl w:ilvl="0">
      <w:start w:val="1"/>
      <w:numFmt w:val="lowerLetter"/>
      <w:pStyle w:val="Bullet"/>
      <w:lvlText w:val="%1."/>
      <w:lvlJc w:val="left"/>
      <w:pPr>
        <w:tabs>
          <w:tab w:val="num" w:pos="360"/>
        </w:tabs>
        <w:ind w:left="360" w:hanging="360"/>
      </w:pPr>
      <w:rPr>
        <w:rFonts w:ascii="Times New Roman" w:eastAsia="Times New Roman" w:hAnsi="Times New Roman" w:cs="Times New Roman"/>
      </w:rPr>
    </w:lvl>
  </w:abstractNum>
  <w:abstractNum w:abstractNumId="1" w15:restartNumberingAfterBreak="0">
    <w:nsid w:val="06CB3B9E"/>
    <w:multiLevelType w:val="multilevel"/>
    <w:tmpl w:val="4A5E8DEC"/>
    <w:lvl w:ilvl="0">
      <w:start w:val="1"/>
      <w:numFmt w:val="none"/>
      <w:pStyle w:val="Table8ptText-ASDEFCON"/>
      <w:lvlText w:val="%1"/>
      <w:lvlJc w:val="left"/>
      <w:pPr>
        <w:tabs>
          <w:tab w:val="num" w:pos="0"/>
        </w:tabs>
        <w:ind w:left="0" w:firstLine="0"/>
      </w:pPr>
      <w:rPr>
        <w:rFonts w:ascii="Arial" w:hAnsi="Arial" w:hint="default"/>
        <w:b w:val="0"/>
        <w:i w:val="0"/>
        <w:sz w:val="16"/>
        <w:szCs w:val="16"/>
      </w:rPr>
    </w:lvl>
    <w:lvl w:ilvl="1">
      <w:start w:val="1"/>
      <w:numFmt w:val="lowerLetter"/>
      <w:pStyle w:val="Table8ptSub1-ASDEFCON"/>
      <w:lvlText w:val="%2."/>
      <w:lvlJc w:val="left"/>
      <w:pPr>
        <w:tabs>
          <w:tab w:val="num" w:pos="284"/>
        </w:tabs>
        <w:ind w:left="284" w:hanging="284"/>
      </w:pPr>
      <w:rPr>
        <w:rFonts w:ascii="Arial" w:hAnsi="Arial" w:hint="default"/>
        <w:b w:val="0"/>
        <w:i w:val="0"/>
      </w:rPr>
    </w:lvl>
    <w:lvl w:ilvl="2">
      <w:start w:val="1"/>
      <w:numFmt w:val="lowerRoman"/>
      <w:pStyle w:val="Table8ptSub2-ASDEFCON"/>
      <w:lvlText w:val="(%3)"/>
      <w:lvlJc w:val="left"/>
      <w:pPr>
        <w:tabs>
          <w:tab w:val="num" w:pos="284"/>
        </w:tabs>
        <w:ind w:left="567" w:hanging="283"/>
      </w:pPr>
      <w:rPr>
        <w:rFonts w:ascii="Arial" w:hAnsi="Arial" w:hint="default"/>
        <w:b w:val="0"/>
        <w:i w:val="0"/>
      </w:rPr>
    </w:lvl>
    <w:lvl w:ilvl="3">
      <w:start w:val="1"/>
      <w:numFmt w:val="decimal"/>
      <w:lvlText w:val="%1.%2.%4"/>
      <w:lvlJc w:val="left"/>
      <w:pPr>
        <w:tabs>
          <w:tab w:val="num" w:pos="1134"/>
        </w:tabs>
        <w:ind w:left="1134" w:hanging="1134"/>
      </w:pPr>
      <w:rPr>
        <w:rFonts w:ascii="Arial" w:hAnsi="Arial" w:hint="default"/>
        <w:b/>
        <w:i w:val="0"/>
      </w:rPr>
    </w:lvl>
    <w:lvl w:ilvl="4">
      <w:start w:val="1"/>
      <w:numFmt w:val="decimal"/>
      <w:lvlText w:val="%1.%2.%5"/>
      <w:lvlJc w:val="left"/>
      <w:pPr>
        <w:tabs>
          <w:tab w:val="num" w:pos="1134"/>
        </w:tabs>
        <w:ind w:left="1134" w:hanging="1134"/>
      </w:pPr>
      <w:rPr>
        <w:rFonts w:ascii="Arial" w:hAnsi="Arial" w:hint="default"/>
        <w:b w:val="0"/>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 w15:restartNumberingAfterBreak="0">
    <w:nsid w:val="09A24AD7"/>
    <w:multiLevelType w:val="hybridMultilevel"/>
    <w:tmpl w:val="58A88880"/>
    <w:lvl w:ilvl="0" w:tplc="1D36ED22">
      <w:start w:val="1"/>
      <w:numFmt w:val="lowerLetter"/>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C026B33"/>
    <w:multiLevelType w:val="hybridMultilevel"/>
    <w:tmpl w:val="44A029EE"/>
    <w:lvl w:ilvl="0" w:tplc="18303678">
      <w:start w:val="1"/>
      <w:numFmt w:val="bullet"/>
      <w:pStyle w:val="NoteBullets-ASDEFCON"/>
      <w:lvlText w:val=""/>
      <w:lvlJc w:val="left"/>
      <w:pPr>
        <w:tabs>
          <w:tab w:val="num" w:pos="851"/>
        </w:tabs>
        <w:ind w:left="851" w:hanging="85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A46F9B"/>
    <w:multiLevelType w:val="multilevel"/>
    <w:tmpl w:val="B0485F70"/>
    <w:lvl w:ilvl="0">
      <w:start w:val="1"/>
      <w:numFmt w:val="lowerLetter"/>
      <w:lvlText w:val="%1."/>
      <w:lvlJc w:val="left"/>
      <w:pPr>
        <w:tabs>
          <w:tab w:val="num" w:pos="2268"/>
        </w:tabs>
        <w:ind w:left="2268" w:hanging="567"/>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1CF65AB"/>
    <w:multiLevelType w:val="hybridMultilevel"/>
    <w:tmpl w:val="211EF75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 w15:restartNumberingAfterBreak="0">
    <w:nsid w:val="18785700"/>
    <w:multiLevelType w:val="hybridMultilevel"/>
    <w:tmpl w:val="E6B8B30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B5C44FC"/>
    <w:multiLevelType w:val="hybridMultilevel"/>
    <w:tmpl w:val="620032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060C17"/>
    <w:multiLevelType w:val="multilevel"/>
    <w:tmpl w:val="E2A44E24"/>
    <w:lvl w:ilvl="0">
      <w:start w:val="1"/>
      <w:numFmt w:val="bullet"/>
      <w:pStyle w:val="Table10ptBP1-ASDEFCON"/>
      <w:lvlText w:val=""/>
      <w:lvlJc w:val="left"/>
      <w:pPr>
        <w:tabs>
          <w:tab w:val="num" w:pos="284"/>
        </w:tabs>
        <w:ind w:left="284" w:hanging="284"/>
      </w:pPr>
      <w:rPr>
        <w:rFonts w:ascii="Symbol" w:hAnsi="Symbol" w:hint="default"/>
        <w:bCs w:val="0"/>
        <w:i w:val="0"/>
        <w:iCs w:val="0"/>
        <w:smallCaps w:val="0"/>
        <w:strike w:val="0"/>
        <w:dstrike w:val="0"/>
        <w:vanish w:val="0"/>
        <w:color w:val="000000"/>
        <w:spacing w:val="0"/>
        <w:kern w:val="0"/>
        <w:position w:val="0"/>
        <w:u w:val="none"/>
        <w:vertAlign w:val="baseline"/>
        <w:em w:val="none"/>
      </w:rPr>
    </w:lvl>
    <w:lvl w:ilvl="1">
      <w:start w:val="1"/>
      <w:numFmt w:val="bullet"/>
      <w:pStyle w:val="Table10ptBP2-ASDEFCON"/>
      <w:lvlText w:val=""/>
      <w:lvlJc w:val="left"/>
      <w:pPr>
        <w:tabs>
          <w:tab w:val="num" w:pos="567"/>
        </w:tabs>
        <w:ind w:left="567" w:hanging="283"/>
      </w:pPr>
      <w:rPr>
        <w:rFonts w:ascii="Symbol" w:hAnsi="Symbol"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418"/>
        </w:tabs>
        <w:ind w:left="1588" w:hanging="737"/>
      </w:pPr>
      <w:rPr>
        <w:rFonts w:hint="default"/>
      </w:rPr>
    </w:lvl>
    <w:lvl w:ilvl="4">
      <w:start w:val="1"/>
      <w:numFmt w:val="lowerRoman"/>
      <w:lvlText w:val="(%5)"/>
      <w:lvlJc w:val="left"/>
      <w:pPr>
        <w:tabs>
          <w:tab w:val="num" w:pos="1985"/>
        </w:tabs>
        <w:ind w:left="1985" w:hanging="567"/>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3215CFF"/>
    <w:multiLevelType w:val="multilevel"/>
    <w:tmpl w:val="BB8425B2"/>
    <w:lvl w:ilvl="0">
      <w:start w:val="1"/>
      <w:numFmt w:val="bullet"/>
      <w:lvlText w:val=""/>
      <w:lvlJc w:val="left"/>
      <w:pPr>
        <w:tabs>
          <w:tab w:val="num" w:pos="2268"/>
        </w:tabs>
        <w:ind w:left="2268" w:hanging="567"/>
      </w:pPr>
      <w:rPr>
        <w:rFonts w:ascii="Symbol" w:hAnsi="Symbol" w:hint="default"/>
        <w:bCs w:val="0"/>
        <w:i w:val="0"/>
        <w:iCs w:val="0"/>
        <w:smallCaps w:val="0"/>
        <w:strike w:val="0"/>
        <w:dstrike w:val="0"/>
        <w:vanish w:val="0"/>
        <w:color w:val="000000"/>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bullet"/>
      <w:lvlText w:val=""/>
      <w:lvlJc w:val="left"/>
      <w:pPr>
        <w:tabs>
          <w:tab w:val="num" w:pos="3402"/>
        </w:tabs>
        <w:ind w:left="3402" w:hanging="567"/>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39A7F63"/>
    <w:multiLevelType w:val="multilevel"/>
    <w:tmpl w:val="77F0935E"/>
    <w:lvl w:ilvl="0">
      <w:start w:val="1"/>
      <w:numFmt w:val="decimal"/>
      <w:pStyle w:val="SOWHL1-ASDEFCON"/>
      <w:lvlText w:val="%1."/>
      <w:lvlJc w:val="left"/>
      <w:pPr>
        <w:tabs>
          <w:tab w:val="num" w:pos="1134"/>
        </w:tabs>
        <w:ind w:left="1134" w:hanging="1134"/>
      </w:pPr>
      <w:rPr>
        <w:rFonts w:ascii="Arial" w:hAnsi="Arial" w:hint="default"/>
        <w:b/>
        <w:i w:val="0"/>
        <w:sz w:val="20"/>
      </w:rPr>
    </w:lvl>
    <w:lvl w:ilvl="1">
      <w:start w:val="1"/>
      <w:numFmt w:val="decimal"/>
      <w:pStyle w:val="SOWHL2-ASDEFCON"/>
      <w:lvlText w:val="%1.%2"/>
      <w:lvlJc w:val="left"/>
      <w:pPr>
        <w:tabs>
          <w:tab w:val="num" w:pos="1134"/>
        </w:tabs>
        <w:ind w:left="1134" w:hanging="1134"/>
      </w:pPr>
      <w:rPr>
        <w:rFonts w:ascii="Arial" w:hAnsi="Arial" w:hint="default"/>
        <w:b/>
        <w:i w:val="0"/>
      </w:rPr>
    </w:lvl>
    <w:lvl w:ilvl="2">
      <w:start w:val="1"/>
      <w:numFmt w:val="decimal"/>
      <w:pStyle w:val="SOWHL3-ASDEFCON"/>
      <w:lvlText w:val="%1.%2.%3"/>
      <w:lvlJc w:val="left"/>
      <w:pPr>
        <w:tabs>
          <w:tab w:val="num" w:pos="1134"/>
        </w:tabs>
        <w:ind w:left="1134" w:hanging="1134"/>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3">
      <w:start w:val="1"/>
      <w:numFmt w:val="decimal"/>
      <w:pStyle w:val="SOWHL4-ASDEFCON"/>
      <w:lvlText w:val="%1.%2.%3.%4"/>
      <w:lvlJc w:val="left"/>
      <w:pPr>
        <w:tabs>
          <w:tab w:val="num" w:pos="1134"/>
        </w:tabs>
        <w:ind w:left="1134" w:hanging="1134"/>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4">
      <w:start w:val="1"/>
      <w:numFmt w:val="decimal"/>
      <w:pStyle w:val="SOWHL5-ASDEFCON"/>
      <w:lvlText w:val="%1.%2.%3.%4.%5"/>
      <w:lvlJc w:val="left"/>
      <w:pPr>
        <w:tabs>
          <w:tab w:val="num" w:pos="1134"/>
        </w:tabs>
        <w:ind w:left="1134" w:hanging="1134"/>
      </w:pPr>
      <w:rPr>
        <w:rFonts w:ascii="Arial" w:hAnsi="Arial" w:hint="default"/>
        <w:b/>
        <w:i w:val="0"/>
      </w:rPr>
    </w:lvl>
    <w:lvl w:ilvl="5">
      <w:start w:val="1"/>
      <w:numFmt w:val="lowerLetter"/>
      <w:pStyle w:val="SOWSubL1-ASDEFCON"/>
      <w:lvlText w:val="%6."/>
      <w:lvlJc w:val="left"/>
      <w:pPr>
        <w:tabs>
          <w:tab w:val="num" w:pos="1701"/>
        </w:tabs>
        <w:ind w:left="1701" w:hanging="567"/>
      </w:pPr>
      <w:rPr>
        <w:rFonts w:hint="default"/>
      </w:rPr>
    </w:lvl>
    <w:lvl w:ilvl="6">
      <w:start w:val="1"/>
      <w:numFmt w:val="lowerRoman"/>
      <w:pStyle w:val="SOWSubL2-ASDEFCON"/>
      <w:lvlText w:val="(%7)"/>
      <w:lvlJc w:val="left"/>
      <w:pPr>
        <w:tabs>
          <w:tab w:val="num" w:pos="2268"/>
        </w:tabs>
        <w:ind w:left="2268" w:hanging="567"/>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1" w15:restartNumberingAfterBreak="0">
    <w:nsid w:val="247135B2"/>
    <w:multiLevelType w:val="hybridMultilevel"/>
    <w:tmpl w:val="AF10909E"/>
    <w:lvl w:ilvl="0" w:tplc="A70C1458">
      <w:start w:val="1"/>
      <w:numFmt w:val="lowerLetter"/>
      <w:pStyle w:val="Note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573626E"/>
    <w:multiLevelType w:val="multilevel"/>
    <w:tmpl w:val="782839D0"/>
    <w:lvl w:ilvl="0">
      <w:start w:val="1"/>
      <w:numFmt w:val="none"/>
      <w:lvlText w:val=""/>
      <w:lvlJc w:val="left"/>
      <w:pPr>
        <w:tabs>
          <w:tab w:val="num" w:pos="0"/>
        </w:tabs>
        <w:ind w:left="0" w:firstLine="0"/>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5C11F6B"/>
    <w:multiLevelType w:val="hybridMultilevel"/>
    <w:tmpl w:val="1492A77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74556E"/>
    <w:multiLevelType w:val="hybridMultilevel"/>
    <w:tmpl w:val="DF100DCC"/>
    <w:lvl w:ilvl="0" w:tplc="6876D876">
      <w:start w:val="1"/>
      <w:numFmt w:val="upperLetter"/>
      <w:pStyle w:val="ASDEFCONRecitals"/>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7841F1F"/>
    <w:multiLevelType w:val="hybridMultilevel"/>
    <w:tmpl w:val="38348D9E"/>
    <w:lvl w:ilvl="0" w:tplc="7A5C97BA">
      <w:start w:val="1"/>
      <w:numFmt w:val="bullet"/>
      <w:pStyle w:val="NoteToDraftersBullets-ASDEFCON"/>
      <w:lvlText w:val=""/>
      <w:lvlJc w:val="left"/>
      <w:pPr>
        <w:tabs>
          <w:tab w:val="num" w:pos="851"/>
        </w:tabs>
        <w:ind w:left="851" w:hanging="85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3B1B3A"/>
    <w:multiLevelType w:val="hybridMultilevel"/>
    <w:tmpl w:val="741A7EBC"/>
    <w:lvl w:ilvl="0" w:tplc="77B495BA">
      <w:start w:val="1"/>
      <w:numFmt w:val="lowerLetter"/>
      <w:pStyle w:val="NoteToDrafters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342F3596"/>
    <w:multiLevelType w:val="multilevel"/>
    <w:tmpl w:val="E24067F8"/>
    <w:lvl w:ilvl="0">
      <w:start w:val="1"/>
      <w:numFmt w:val="bullet"/>
      <w:pStyle w:val="Table8ptBP1-ASDEFCON"/>
      <w:lvlText w:val=""/>
      <w:lvlJc w:val="left"/>
      <w:pPr>
        <w:tabs>
          <w:tab w:val="num" w:pos="284"/>
        </w:tabs>
        <w:ind w:left="284" w:hanging="284"/>
      </w:pPr>
      <w:rPr>
        <w:rFonts w:ascii="Symbol" w:hAnsi="Symbol" w:hint="default"/>
      </w:rPr>
    </w:lvl>
    <w:lvl w:ilvl="1">
      <w:start w:val="1"/>
      <w:numFmt w:val="bullet"/>
      <w:pStyle w:val="Table8ptBP2-ASDEFCON"/>
      <w:lvlText w:val=""/>
      <w:lvlJc w:val="left"/>
      <w:pPr>
        <w:tabs>
          <w:tab w:val="num" w:pos="284"/>
        </w:tabs>
        <w:ind w:left="567" w:hanging="28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343C31C6"/>
    <w:multiLevelType w:val="multilevel"/>
    <w:tmpl w:val="766EE828"/>
    <w:lvl w:ilvl="0">
      <w:start w:val="1"/>
      <w:numFmt w:val="none"/>
      <w:lvlText w:val=""/>
      <w:lvlJc w:val="left"/>
      <w:pPr>
        <w:tabs>
          <w:tab w:val="num" w:pos="0"/>
        </w:tabs>
        <w:ind w:left="0" w:firstLine="0"/>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62E4170"/>
    <w:multiLevelType w:val="multilevel"/>
    <w:tmpl w:val="84CC1628"/>
    <w:lvl w:ilvl="0">
      <w:start w:val="1"/>
      <w:numFmt w:val="decimal"/>
      <w:pStyle w:val="ASDEFCONOperativePartListLV1"/>
      <w:lvlText w:val="%1."/>
      <w:lvlJc w:val="left"/>
      <w:pPr>
        <w:tabs>
          <w:tab w:val="num" w:pos="567"/>
        </w:tabs>
        <w:ind w:left="567" w:hanging="567"/>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lowerLetter"/>
      <w:pStyle w:val="ASDEFCONOperativePartListLV2"/>
      <w:lvlText w:val="%2."/>
      <w:lvlJc w:val="left"/>
      <w:pPr>
        <w:tabs>
          <w:tab w:val="num" w:pos="1134"/>
        </w:tabs>
        <w:ind w:left="1134" w:hanging="567"/>
      </w:pPr>
      <w:rPr>
        <w:rFonts w:hint="default"/>
      </w:rPr>
    </w:lvl>
    <w:lvl w:ilvl="2">
      <w:start w:val="1"/>
      <w:numFmt w:val="none"/>
      <w:lvlText w:val=""/>
      <w:lvlJc w:val="left"/>
      <w:pPr>
        <w:tabs>
          <w:tab w:val="num" w:pos="1701"/>
        </w:tabs>
        <w:ind w:left="1701" w:hanging="1701"/>
      </w:pPr>
      <w:rPr>
        <w:rFonts w:hint="default"/>
      </w:rPr>
    </w:lvl>
    <w:lvl w:ilvl="3">
      <w:start w:val="1"/>
      <w:numFmt w:val="lowerLetter"/>
      <w:lvlText w:val="%4."/>
      <w:lvlJc w:val="left"/>
      <w:pPr>
        <w:tabs>
          <w:tab w:val="num" w:pos="2268"/>
        </w:tabs>
        <w:ind w:left="2268" w:hanging="567"/>
      </w:pPr>
      <w:rPr>
        <w:rFonts w:hint="default"/>
      </w:rPr>
    </w:lvl>
    <w:lvl w:ilvl="4">
      <w:start w:val="1"/>
      <w:numFmt w:val="bullet"/>
      <w:lvlText w:val=""/>
      <w:lvlJc w:val="left"/>
      <w:pPr>
        <w:tabs>
          <w:tab w:val="num" w:pos="2835"/>
        </w:tabs>
        <w:ind w:left="2835" w:hanging="567"/>
      </w:pPr>
      <w:rPr>
        <w:rFonts w:ascii="Symbol" w:hAnsi="Symbol"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A2F682E"/>
    <w:multiLevelType w:val="multilevel"/>
    <w:tmpl w:val="61043144"/>
    <w:lvl w:ilvl="0">
      <w:start w:val="1"/>
      <w:numFmt w:val="bullet"/>
      <w:pStyle w:val="GuideBullets-ASDEFCON"/>
      <w:lvlText w:val=""/>
      <w:lvlJc w:val="left"/>
      <w:pPr>
        <w:tabs>
          <w:tab w:val="num" w:pos="2268"/>
        </w:tabs>
        <w:ind w:left="2268" w:hanging="567"/>
      </w:pPr>
      <w:rPr>
        <w:rFonts w:ascii="Symbol" w:hAnsi="Symbol" w:hint="default"/>
        <w:b w:val="0"/>
        <w:bCs w:val="0"/>
        <w:i w:val="0"/>
        <w:iCs w:val="0"/>
        <w:smallCaps w:val="0"/>
        <w:strike w:val="0"/>
        <w:dstrike w:val="0"/>
        <w:vanish w:val="0"/>
        <w:color w:val="auto"/>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bullet"/>
      <w:pStyle w:val="GuideBullets-ASDEFCON"/>
      <w:lvlText w:val=""/>
      <w:lvlJc w:val="left"/>
      <w:pPr>
        <w:tabs>
          <w:tab w:val="num" w:pos="3402"/>
        </w:tabs>
        <w:ind w:left="3402" w:hanging="567"/>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D202C01"/>
    <w:multiLevelType w:val="hybridMultilevel"/>
    <w:tmpl w:val="9F66A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05385E"/>
    <w:multiLevelType w:val="hybridMultilevel"/>
    <w:tmpl w:val="50786EA8"/>
    <w:lvl w:ilvl="0" w:tplc="A69085AC">
      <w:start w:val="1"/>
      <w:numFmt w:val="decimal"/>
      <w:pStyle w:val="ASDEFCONList"/>
      <w:lvlText w:val="%1."/>
      <w:lvlJc w:val="left"/>
      <w:pPr>
        <w:tabs>
          <w:tab w:val="num" w:pos="855"/>
        </w:tabs>
        <w:ind w:left="855" w:hanging="855"/>
      </w:pPr>
      <w:rPr>
        <w:rFonts w:hint="default"/>
      </w:rPr>
    </w:lvl>
    <w:lvl w:ilvl="1" w:tplc="E0022880">
      <w:start w:val="1"/>
      <w:numFmt w:val="lowerLetter"/>
      <w:lvlText w:val="%2."/>
      <w:lvlJc w:val="left"/>
      <w:pPr>
        <w:tabs>
          <w:tab w:val="num" w:pos="855"/>
        </w:tabs>
        <w:ind w:left="855" w:hanging="85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0DE429D"/>
    <w:multiLevelType w:val="hybridMultilevel"/>
    <w:tmpl w:val="F70E925A"/>
    <w:lvl w:ilvl="0" w:tplc="F8A4397C">
      <w:start w:val="1"/>
      <w:numFmt w:val="bullet"/>
      <w:pStyle w:val="ASDEFCONBulletsLV2"/>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24" w15:restartNumberingAfterBreak="0">
    <w:nsid w:val="417F6DFB"/>
    <w:multiLevelType w:val="hybridMultilevel"/>
    <w:tmpl w:val="182EF8EA"/>
    <w:lvl w:ilvl="0" w:tplc="34589988">
      <w:start w:val="1"/>
      <w:numFmt w:val="lowerLetter"/>
      <w:pStyle w:val="NoteToTenderers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458D74B5"/>
    <w:multiLevelType w:val="hybridMultilevel"/>
    <w:tmpl w:val="261A0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383F8D"/>
    <w:multiLevelType w:val="multilevel"/>
    <w:tmpl w:val="45486EF2"/>
    <w:lvl w:ilvl="0">
      <w:start w:val="1"/>
      <w:numFmt w:val="none"/>
      <w:pStyle w:val="Table10ptText-ASDEFCON"/>
      <w:lvlText w:val=""/>
      <w:lvlJc w:val="left"/>
      <w:pPr>
        <w:tabs>
          <w:tab w:val="num" w:pos="0"/>
        </w:tabs>
        <w:ind w:left="0" w:firstLine="0"/>
      </w:pPr>
      <w:rPr>
        <w:rFonts w:ascii="Arial" w:hAnsi="Arial" w:hint="default"/>
        <w:b w:val="0"/>
        <w:i w:val="0"/>
        <w:sz w:val="20"/>
        <w:szCs w:val="20"/>
      </w:rPr>
    </w:lvl>
    <w:lvl w:ilvl="1">
      <w:start w:val="1"/>
      <w:numFmt w:val="lowerLetter"/>
      <w:pStyle w:val="Table10ptSub1-ASDEFCON"/>
      <w:lvlText w:val="%2."/>
      <w:lvlJc w:val="left"/>
      <w:pPr>
        <w:tabs>
          <w:tab w:val="num" w:pos="284"/>
        </w:tabs>
        <w:ind w:left="284" w:hanging="284"/>
      </w:pPr>
      <w:rPr>
        <w:rFonts w:ascii="Arial" w:hAnsi="Arial" w:hint="default"/>
        <w:b w:val="0"/>
        <w:i w:val="0"/>
      </w:rPr>
    </w:lvl>
    <w:lvl w:ilvl="2">
      <w:start w:val="1"/>
      <w:numFmt w:val="lowerRoman"/>
      <w:pStyle w:val="Table10ptSub2-ASDEFCON"/>
      <w:lvlText w:val="(%3)"/>
      <w:lvlJc w:val="left"/>
      <w:pPr>
        <w:tabs>
          <w:tab w:val="num" w:pos="567"/>
        </w:tabs>
        <w:ind w:left="567" w:hanging="283"/>
      </w:pPr>
      <w:rPr>
        <w:rFonts w:ascii="Arial" w:hAnsi="Arial" w:hint="default"/>
        <w:b w:val="0"/>
        <w:i w:val="0"/>
      </w:rPr>
    </w:lvl>
    <w:lvl w:ilvl="3">
      <w:start w:val="1"/>
      <w:numFmt w:val="decimal"/>
      <w:lvlText w:val="%1.%2.%3.%4"/>
      <w:lvlJc w:val="left"/>
      <w:pPr>
        <w:tabs>
          <w:tab w:val="num" w:pos="1134"/>
        </w:tabs>
        <w:ind w:left="1134" w:hanging="1134"/>
      </w:pPr>
      <w:rPr>
        <w:rFonts w:ascii="Arial" w:hAnsi="Arial" w:hint="default"/>
        <w:b/>
        <w:i w:val="0"/>
      </w:rPr>
    </w:lvl>
    <w:lvl w:ilvl="4">
      <w:start w:val="1"/>
      <w:numFmt w:val="decimal"/>
      <w:lvlText w:val="%1.%2.%3.%4.%5"/>
      <w:lvlJc w:val="left"/>
      <w:pPr>
        <w:tabs>
          <w:tab w:val="num" w:pos="1134"/>
        </w:tabs>
        <w:ind w:left="1134" w:hanging="1134"/>
      </w:pPr>
      <w:rPr>
        <w:rFonts w:ascii="Arial" w:hAnsi="Arial" w:hint="default"/>
        <w:b/>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7" w15:restartNumberingAfterBreak="0">
    <w:nsid w:val="4D7C6595"/>
    <w:multiLevelType w:val="hybridMultilevel"/>
    <w:tmpl w:val="A1DCE34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19F7BC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1CE1F88"/>
    <w:multiLevelType w:val="hybridMultilevel"/>
    <w:tmpl w:val="92EAB1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35828C6"/>
    <w:multiLevelType w:val="multilevel"/>
    <w:tmpl w:val="0C090023"/>
    <w:lvl w:ilvl="0">
      <w:start w:val="1"/>
      <w:numFmt w:val="upperRoman"/>
      <w:pStyle w:val="Heading1"/>
      <w:lvlText w:val="Article %1."/>
      <w:lvlJc w:val="left"/>
      <w:pPr>
        <w:tabs>
          <w:tab w:val="num" w:pos="4680"/>
        </w:tabs>
        <w:ind w:left="0" w:firstLine="0"/>
      </w:pPr>
    </w:lvl>
    <w:lvl w:ilvl="1">
      <w:start w:val="1"/>
      <w:numFmt w:val="decimalZero"/>
      <w:isLgl/>
      <w:lvlText w:val="Section %1.%2"/>
      <w:lvlJc w:val="left"/>
      <w:pPr>
        <w:tabs>
          <w:tab w:val="num" w:pos="5760"/>
        </w:tabs>
        <w:ind w:left="0" w:firstLine="0"/>
      </w:pPr>
    </w:lvl>
    <w:lvl w:ilvl="2">
      <w:start w:val="1"/>
      <w:numFmt w:val="lowerLetter"/>
      <w:lvlText w:val="(%3)"/>
      <w:lvlJc w:val="left"/>
      <w:pPr>
        <w:tabs>
          <w:tab w:val="num" w:pos="172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656"/>
        </w:tabs>
        <w:ind w:left="1008" w:hanging="432"/>
      </w:pPr>
    </w:lvl>
    <w:lvl w:ilvl="5">
      <w:start w:val="1"/>
      <w:numFmt w:val="lowerLetter"/>
      <w:lvlText w:val="%6)"/>
      <w:lvlJc w:val="left"/>
      <w:pPr>
        <w:tabs>
          <w:tab w:val="num" w:pos="180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2088"/>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57755E04"/>
    <w:multiLevelType w:val="multilevel"/>
    <w:tmpl w:val="E668AC42"/>
    <w:lvl w:ilvl="0">
      <w:start w:val="1"/>
      <w:numFmt w:val="lowerLetter"/>
      <w:lvlText w:val="%1."/>
      <w:lvlJc w:val="left"/>
      <w:pPr>
        <w:tabs>
          <w:tab w:val="num" w:pos="1701"/>
        </w:tabs>
        <w:ind w:left="1701" w:hanging="567"/>
      </w:pPr>
      <w:rPr>
        <w:rFonts w:hint="default"/>
      </w:rPr>
    </w:lvl>
    <w:lvl w:ilvl="1">
      <w:start w:val="1"/>
      <w:numFmt w:val="lowerRoman"/>
      <w:lvlText w:val="(%2)"/>
      <w:lvlJc w:val="left"/>
      <w:pPr>
        <w:tabs>
          <w:tab w:val="num" w:pos="2268"/>
        </w:tabs>
        <w:ind w:left="2268"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818494A"/>
    <w:multiLevelType w:val="hybridMultilevel"/>
    <w:tmpl w:val="5552A7A6"/>
    <w:lvl w:ilvl="0" w:tplc="1F683590">
      <w:start w:val="1"/>
      <w:numFmt w:val="decimal"/>
      <w:lvlText w:val="%1."/>
      <w:lvlJc w:val="left"/>
      <w:pPr>
        <w:tabs>
          <w:tab w:val="num" w:pos="851"/>
        </w:tabs>
        <w:ind w:left="851" w:hanging="85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A9B344C"/>
    <w:multiLevelType w:val="hybridMultilevel"/>
    <w:tmpl w:val="252A4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957F17"/>
    <w:multiLevelType w:val="hybridMultilevel"/>
    <w:tmpl w:val="B650A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FA14E0"/>
    <w:multiLevelType w:val="multilevel"/>
    <w:tmpl w:val="41A82F8C"/>
    <w:lvl w:ilvl="0">
      <w:start w:val="1"/>
      <w:numFmt w:val="lowerLetter"/>
      <w:lvlText w:val="%1."/>
      <w:lvlJc w:val="left"/>
      <w:pPr>
        <w:tabs>
          <w:tab w:val="num" w:pos="855"/>
        </w:tabs>
        <w:ind w:left="855" w:hanging="85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40D1940"/>
    <w:multiLevelType w:val="hybridMultilevel"/>
    <w:tmpl w:val="C6BE2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B8248A"/>
    <w:multiLevelType w:val="multilevel"/>
    <w:tmpl w:val="140C694E"/>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7D81068"/>
    <w:multiLevelType w:val="hybridMultilevel"/>
    <w:tmpl w:val="41A82F8C"/>
    <w:lvl w:ilvl="0" w:tplc="35B6E120">
      <w:start w:val="1"/>
      <w:numFmt w:val="lowerLetter"/>
      <w:pStyle w:val="ASDEFCONSublist"/>
      <w:lvlText w:val="%1."/>
      <w:lvlJc w:val="left"/>
      <w:pPr>
        <w:tabs>
          <w:tab w:val="num" w:pos="855"/>
        </w:tabs>
        <w:ind w:left="855" w:hanging="85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69A8193E"/>
    <w:multiLevelType w:val="hybridMultilevel"/>
    <w:tmpl w:val="2612F0F4"/>
    <w:lvl w:ilvl="0" w:tplc="F8DE1AEA">
      <w:start w:val="1"/>
      <w:numFmt w:val="bullet"/>
      <w:pStyle w:val="NoteToTenderersBullets-ASDEFCON"/>
      <w:lvlText w:val=""/>
      <w:lvlJc w:val="left"/>
      <w:pPr>
        <w:tabs>
          <w:tab w:val="num" w:pos="851"/>
        </w:tabs>
        <w:ind w:left="851" w:hanging="851"/>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D14DA1"/>
    <w:multiLevelType w:val="hybridMultilevel"/>
    <w:tmpl w:val="D0061886"/>
    <w:lvl w:ilvl="0" w:tplc="DB280694">
      <w:start w:val="2"/>
      <w:numFmt w:val="bullet"/>
      <w:lvlText w:val="•"/>
      <w:lvlJc w:val="left"/>
      <w:pPr>
        <w:ind w:left="66" w:hanging="360"/>
      </w:pPr>
      <w:rPr>
        <w:rFonts w:ascii="Arial" w:eastAsia="Times New Roman" w:hAnsi="Arial" w:cs="Arial" w:hint="default"/>
      </w:rPr>
    </w:lvl>
    <w:lvl w:ilvl="1" w:tplc="0C090003" w:tentative="1">
      <w:start w:val="1"/>
      <w:numFmt w:val="bullet"/>
      <w:lvlText w:val="o"/>
      <w:lvlJc w:val="left"/>
      <w:pPr>
        <w:ind w:left="786" w:hanging="360"/>
      </w:pPr>
      <w:rPr>
        <w:rFonts w:ascii="Courier New" w:hAnsi="Courier New" w:cs="Courier New" w:hint="default"/>
      </w:rPr>
    </w:lvl>
    <w:lvl w:ilvl="2" w:tplc="0C090005" w:tentative="1">
      <w:start w:val="1"/>
      <w:numFmt w:val="bullet"/>
      <w:lvlText w:val=""/>
      <w:lvlJc w:val="left"/>
      <w:pPr>
        <w:ind w:left="1506" w:hanging="360"/>
      </w:pPr>
      <w:rPr>
        <w:rFonts w:ascii="Wingdings" w:hAnsi="Wingdings" w:hint="default"/>
      </w:rPr>
    </w:lvl>
    <w:lvl w:ilvl="3" w:tplc="0C090001" w:tentative="1">
      <w:start w:val="1"/>
      <w:numFmt w:val="bullet"/>
      <w:lvlText w:val=""/>
      <w:lvlJc w:val="left"/>
      <w:pPr>
        <w:ind w:left="2226" w:hanging="360"/>
      </w:pPr>
      <w:rPr>
        <w:rFonts w:ascii="Symbol" w:hAnsi="Symbol" w:hint="default"/>
      </w:rPr>
    </w:lvl>
    <w:lvl w:ilvl="4" w:tplc="0C090003" w:tentative="1">
      <w:start w:val="1"/>
      <w:numFmt w:val="bullet"/>
      <w:lvlText w:val="o"/>
      <w:lvlJc w:val="left"/>
      <w:pPr>
        <w:ind w:left="2946" w:hanging="360"/>
      </w:pPr>
      <w:rPr>
        <w:rFonts w:ascii="Courier New" w:hAnsi="Courier New" w:cs="Courier New" w:hint="default"/>
      </w:rPr>
    </w:lvl>
    <w:lvl w:ilvl="5" w:tplc="0C090005" w:tentative="1">
      <w:start w:val="1"/>
      <w:numFmt w:val="bullet"/>
      <w:lvlText w:val=""/>
      <w:lvlJc w:val="left"/>
      <w:pPr>
        <w:ind w:left="3666" w:hanging="360"/>
      </w:pPr>
      <w:rPr>
        <w:rFonts w:ascii="Wingdings" w:hAnsi="Wingdings" w:hint="default"/>
      </w:rPr>
    </w:lvl>
    <w:lvl w:ilvl="6" w:tplc="0C090001" w:tentative="1">
      <w:start w:val="1"/>
      <w:numFmt w:val="bullet"/>
      <w:lvlText w:val=""/>
      <w:lvlJc w:val="left"/>
      <w:pPr>
        <w:ind w:left="4386" w:hanging="360"/>
      </w:pPr>
      <w:rPr>
        <w:rFonts w:ascii="Symbol" w:hAnsi="Symbol" w:hint="default"/>
      </w:rPr>
    </w:lvl>
    <w:lvl w:ilvl="7" w:tplc="0C090003" w:tentative="1">
      <w:start w:val="1"/>
      <w:numFmt w:val="bullet"/>
      <w:lvlText w:val="o"/>
      <w:lvlJc w:val="left"/>
      <w:pPr>
        <w:ind w:left="5106" w:hanging="360"/>
      </w:pPr>
      <w:rPr>
        <w:rFonts w:ascii="Courier New" w:hAnsi="Courier New" w:cs="Courier New" w:hint="default"/>
      </w:rPr>
    </w:lvl>
    <w:lvl w:ilvl="8" w:tplc="0C090005" w:tentative="1">
      <w:start w:val="1"/>
      <w:numFmt w:val="bullet"/>
      <w:lvlText w:val=""/>
      <w:lvlJc w:val="left"/>
      <w:pPr>
        <w:ind w:left="5826" w:hanging="360"/>
      </w:pPr>
      <w:rPr>
        <w:rFonts w:ascii="Wingdings" w:hAnsi="Wingdings" w:hint="default"/>
      </w:rPr>
    </w:lvl>
  </w:abstractNum>
  <w:abstractNum w:abstractNumId="41" w15:restartNumberingAfterBreak="0">
    <w:nsid w:val="6A2B5475"/>
    <w:multiLevelType w:val="multilevel"/>
    <w:tmpl w:val="6B20236A"/>
    <w:lvl w:ilvl="0">
      <w:start w:val="1"/>
      <w:numFmt w:val="bullet"/>
      <w:lvlText w:val=""/>
      <w:lvlJc w:val="left"/>
      <w:pPr>
        <w:tabs>
          <w:tab w:val="num" w:pos="2268"/>
        </w:tabs>
        <w:ind w:left="2268" w:hanging="567"/>
      </w:pPr>
      <w:rPr>
        <w:rFonts w:ascii="Symbol" w:hAnsi="Symbol" w:hint="default"/>
        <w:bCs w:val="0"/>
        <w:i w:val="0"/>
        <w:iCs w:val="0"/>
        <w:smallCaps w:val="0"/>
        <w:strike w:val="0"/>
        <w:dstrike w:val="0"/>
        <w:vanish w:val="0"/>
        <w:color w:val="000000"/>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bullet"/>
      <w:lvlText w:val=""/>
      <w:lvlJc w:val="left"/>
      <w:pPr>
        <w:tabs>
          <w:tab w:val="num" w:pos="3402"/>
        </w:tabs>
        <w:ind w:left="3402" w:hanging="567"/>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A371BD7"/>
    <w:multiLevelType w:val="multilevel"/>
    <w:tmpl w:val="B50AAF94"/>
    <w:lvl w:ilvl="0">
      <w:start w:val="1"/>
      <w:numFmt w:val="lowerLetter"/>
      <w:pStyle w:val="GuideSublistLv1-ASDEFCON"/>
      <w:lvlText w:val="%1."/>
      <w:lvlJc w:val="left"/>
      <w:pPr>
        <w:tabs>
          <w:tab w:val="num" w:pos="2268"/>
        </w:tabs>
        <w:ind w:left="2268" w:hanging="567"/>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lowerRoman"/>
      <w:pStyle w:val="GuideSublistLv2-ASDEFCON"/>
      <w:lvlText w:val="(%2)"/>
      <w:lvlJc w:val="left"/>
      <w:pPr>
        <w:tabs>
          <w:tab w:val="num" w:pos="2835"/>
        </w:tabs>
        <w:ind w:left="2835" w:hanging="567"/>
      </w:pPr>
      <w:rPr>
        <w:rFonts w:hint="default"/>
      </w:rPr>
    </w:lvl>
    <w:lvl w:ilvl="2">
      <w:start w:val="1"/>
      <w:numFmt w:val="none"/>
      <w:lvlText w:val=""/>
      <w:lvlJc w:val="left"/>
      <w:pPr>
        <w:tabs>
          <w:tab w:val="num" w:pos="2835"/>
        </w:tabs>
        <w:ind w:left="2835" w:hanging="567"/>
      </w:pPr>
      <w:rPr>
        <w:rFonts w:hint="default"/>
      </w:rPr>
    </w:lvl>
    <w:lvl w:ilvl="3">
      <w:start w:val="1"/>
      <w:numFmt w:val="none"/>
      <w:lvlText w:val="%4."/>
      <w:lvlJc w:val="left"/>
      <w:pPr>
        <w:tabs>
          <w:tab w:val="num" w:pos="2835"/>
        </w:tabs>
        <w:ind w:left="2835" w:hanging="567"/>
      </w:pPr>
      <w:rPr>
        <w:rFonts w:hint="default"/>
      </w:rPr>
    </w:lvl>
    <w:lvl w:ilvl="4">
      <w:start w:val="1"/>
      <w:numFmt w:val="none"/>
      <w:lvlText w:val="%5."/>
      <w:lvlJc w:val="left"/>
      <w:pPr>
        <w:tabs>
          <w:tab w:val="num" w:pos="2835"/>
        </w:tabs>
        <w:ind w:left="2835" w:hanging="567"/>
      </w:pPr>
      <w:rPr>
        <w:rFonts w:hint="default"/>
      </w:rPr>
    </w:lvl>
    <w:lvl w:ilvl="5">
      <w:start w:val="1"/>
      <w:numFmt w:val="lowerRoman"/>
      <w:lvlText w:val="(%6)"/>
      <w:lvlJc w:val="left"/>
      <w:pPr>
        <w:tabs>
          <w:tab w:val="num" w:pos="2835"/>
        </w:tabs>
        <w:ind w:left="2835"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19F1F3F"/>
    <w:multiLevelType w:val="multilevel"/>
    <w:tmpl w:val="1C44D66C"/>
    <w:lvl w:ilvl="0">
      <w:start w:val="1"/>
      <w:numFmt w:val="decimal"/>
      <w:pStyle w:val="ATTANN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ATTANNLV2-ASDEFCON"/>
      <w:lvlText w:val="%1.%2"/>
      <w:lvlJc w:val="left"/>
      <w:pPr>
        <w:tabs>
          <w:tab w:val="num" w:pos="851"/>
        </w:tabs>
        <w:ind w:left="851" w:hanging="851"/>
      </w:pPr>
      <w:rPr>
        <w:rFonts w:hint="default"/>
      </w:rPr>
    </w:lvl>
    <w:lvl w:ilvl="2">
      <w:start w:val="1"/>
      <w:numFmt w:val="lowerLetter"/>
      <w:pStyle w:val="ATTANNLV3-ASDEFCON"/>
      <w:lvlText w:val="%3."/>
      <w:lvlJc w:val="left"/>
      <w:pPr>
        <w:tabs>
          <w:tab w:val="num" w:pos="1418"/>
        </w:tabs>
        <w:ind w:left="1418" w:hanging="567"/>
      </w:pPr>
      <w:rPr>
        <w:rFonts w:hint="default"/>
      </w:rPr>
    </w:lvl>
    <w:lvl w:ilvl="3">
      <w:start w:val="1"/>
      <w:numFmt w:val="lowerRoman"/>
      <w:pStyle w:val="ATTANNLV4-ASDEFCON"/>
      <w:lvlText w:val="(%4)"/>
      <w:lvlJc w:val="left"/>
      <w:pPr>
        <w:tabs>
          <w:tab w:val="num" w:pos="1985"/>
        </w:tabs>
        <w:ind w:left="1985" w:hanging="567"/>
      </w:pPr>
      <w:rPr>
        <w:rFonts w:hint="default"/>
      </w:rPr>
    </w:lvl>
    <w:lvl w:ilvl="4">
      <w:start w:val="1"/>
      <w:numFmt w:val="none"/>
      <w:lvlText w:val=""/>
      <w:lvlJc w:val="left"/>
      <w:pPr>
        <w:tabs>
          <w:tab w:val="num" w:pos="1985"/>
        </w:tabs>
        <w:ind w:left="2268" w:hanging="2268"/>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3B40E12"/>
    <w:multiLevelType w:val="multilevel"/>
    <w:tmpl w:val="05805EDA"/>
    <w:lvl w:ilvl="0">
      <w:start w:val="1"/>
      <w:numFmt w:val="decimal"/>
      <w:lvlText w:val="%1."/>
      <w:lvlJc w:val="left"/>
      <w:pPr>
        <w:tabs>
          <w:tab w:val="num" w:pos="851"/>
        </w:tabs>
        <w:ind w:left="851" w:hanging="851"/>
      </w:pPr>
      <w:rPr>
        <w:rFonts w:ascii="Arial" w:hAnsi="Arial" w:hint="default"/>
        <w:b/>
        <w:i w:val="0"/>
        <w:sz w:val="20"/>
      </w:rPr>
    </w:lvl>
    <w:lvl w:ilvl="1">
      <w:start w:val="1"/>
      <w:numFmt w:val="decimal"/>
      <w:lvlText w:val="%1.%2"/>
      <w:lvlJc w:val="left"/>
      <w:pPr>
        <w:tabs>
          <w:tab w:val="num" w:pos="851"/>
        </w:tabs>
        <w:ind w:left="851" w:hanging="85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567"/>
      </w:pPr>
      <w:rPr>
        <w:rFonts w:ascii="Arial" w:hAnsi="Arial" w:hint="default"/>
        <w:sz w:val="20"/>
      </w:rPr>
    </w:lvl>
    <w:lvl w:ilvl="3">
      <w:start w:val="1"/>
      <w:numFmt w:val="lowerRoman"/>
      <w:lvlText w:val="(%4)"/>
      <w:lvlJc w:val="left"/>
      <w:pPr>
        <w:tabs>
          <w:tab w:val="num" w:pos="1985"/>
        </w:tabs>
        <w:ind w:left="1985" w:hanging="567"/>
      </w:pPr>
      <w:rPr>
        <w:rFonts w:ascii="Arial" w:hAnsi="Arial" w:hint="default"/>
        <w:sz w:val="20"/>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45" w15:restartNumberingAfterBreak="0">
    <w:nsid w:val="76FE40B2"/>
    <w:multiLevelType w:val="hybridMultilevel"/>
    <w:tmpl w:val="7BC6C6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15:restartNumberingAfterBreak="0">
    <w:nsid w:val="772356F4"/>
    <w:multiLevelType w:val="hybridMultilevel"/>
    <w:tmpl w:val="4FCCB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897D63"/>
    <w:multiLevelType w:val="hybridMultilevel"/>
    <w:tmpl w:val="820EB06A"/>
    <w:lvl w:ilvl="0" w:tplc="680878EC">
      <w:start w:val="1"/>
      <w:numFmt w:val="upperLetter"/>
      <w:pStyle w:val="ATTANNListTableofContents-ASDEFCON"/>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15:restartNumberingAfterBreak="0">
    <w:nsid w:val="7B801EAB"/>
    <w:multiLevelType w:val="multilevel"/>
    <w:tmpl w:val="56EAD9E0"/>
    <w:lvl w:ilvl="0">
      <w:start w:val="1"/>
      <w:numFmt w:val="bullet"/>
      <w:lvlText w:val=""/>
      <w:lvlJc w:val="left"/>
      <w:pPr>
        <w:tabs>
          <w:tab w:val="num" w:pos="3402"/>
        </w:tabs>
        <w:ind w:left="3402" w:hanging="567"/>
      </w:pPr>
      <w:rPr>
        <w:rFonts w:ascii="Symbol" w:hAnsi="Symbol" w:hint="default"/>
        <w:bCs w:val="0"/>
        <w:i w:val="0"/>
        <w:iCs w:val="0"/>
        <w:smallCaps w:val="0"/>
        <w:strike w:val="0"/>
        <w:dstrike w:val="0"/>
        <w:vanish w:val="0"/>
        <w:color w:val="000000"/>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bullet"/>
      <w:lvlText w:val=""/>
      <w:lvlJc w:val="left"/>
      <w:pPr>
        <w:tabs>
          <w:tab w:val="num" w:pos="3402"/>
        </w:tabs>
        <w:ind w:left="3402" w:hanging="567"/>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7E1127D5"/>
    <w:multiLevelType w:val="hybridMultilevel"/>
    <w:tmpl w:val="A5F2B770"/>
    <w:lvl w:ilvl="0" w:tplc="A3C8ADA6">
      <w:start w:val="1"/>
      <w:numFmt w:val="bullet"/>
      <w:pStyle w:val="ASDEFCONBulletsLV1"/>
      <w:lvlText w:val=""/>
      <w:lvlJc w:val="left"/>
      <w:pPr>
        <w:tabs>
          <w:tab w:val="num" w:pos="567"/>
        </w:tabs>
        <w:ind w:left="567" w:hanging="567"/>
      </w:pPr>
      <w:rPr>
        <w:rFonts w:ascii="Symbol" w:hAnsi="Symbol" w:hint="default"/>
        <w:b w:val="0"/>
        <w:i w:val="0"/>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F42B03"/>
    <w:multiLevelType w:val="hybridMultilevel"/>
    <w:tmpl w:val="FE4413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7"/>
  </w:num>
  <w:num w:numId="2">
    <w:abstractNumId w:val="13"/>
  </w:num>
  <w:num w:numId="3">
    <w:abstractNumId w:val="44"/>
  </w:num>
  <w:num w:numId="4">
    <w:abstractNumId w:val="37"/>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6"/>
  </w:num>
  <w:num w:numId="8">
    <w:abstractNumId w:val="39"/>
  </w:num>
  <w:num w:numId="9">
    <w:abstractNumId w:val="24"/>
  </w:num>
  <w:num w:numId="10">
    <w:abstractNumId w:val="10"/>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47"/>
  </w:num>
  <w:num w:numId="14">
    <w:abstractNumId w:val="17"/>
  </w:num>
  <w:num w:numId="15">
    <w:abstractNumId w:val="23"/>
  </w:num>
  <w:num w:numId="16">
    <w:abstractNumId w:val="20"/>
  </w:num>
  <w:num w:numId="17">
    <w:abstractNumId w:val="49"/>
  </w:num>
  <w:num w:numId="18">
    <w:abstractNumId w:val="14"/>
  </w:num>
  <w:num w:numId="19">
    <w:abstractNumId w:val="11"/>
  </w:num>
  <w:num w:numId="20">
    <w:abstractNumId w:val="3"/>
  </w:num>
  <w:num w:numId="21">
    <w:abstractNumId w:val="8"/>
  </w:num>
  <w:num w:numId="22">
    <w:abstractNumId w:val="19"/>
  </w:num>
  <w:num w:numId="23">
    <w:abstractNumId w:val="1"/>
  </w:num>
  <w:num w:numId="24">
    <w:abstractNumId w:val="26"/>
  </w:num>
  <w:num w:numId="25">
    <w:abstractNumId w:val="42"/>
  </w:num>
  <w:num w:numId="26">
    <w:abstractNumId w:val="38"/>
  </w:num>
  <w:num w:numId="27">
    <w:abstractNumId w:val="50"/>
  </w:num>
  <w:num w:numId="28">
    <w:abstractNumId w:val="0"/>
  </w:num>
  <w:num w:numId="29">
    <w:abstractNumId w:val="2"/>
  </w:num>
  <w:num w:numId="30">
    <w:abstractNumId w:val="46"/>
  </w:num>
  <w:num w:numId="31">
    <w:abstractNumId w:val="25"/>
  </w:num>
  <w:num w:numId="32">
    <w:abstractNumId w:val="45"/>
  </w:num>
  <w:num w:numId="33">
    <w:abstractNumId w:val="34"/>
  </w:num>
  <w:num w:numId="34">
    <w:abstractNumId w:val="33"/>
  </w:num>
  <w:num w:numId="35">
    <w:abstractNumId w:val="43"/>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9"/>
  </w:num>
  <w:num w:numId="39">
    <w:abstractNumId w:val="48"/>
  </w:num>
  <w:num w:numId="40">
    <w:abstractNumId w:val="18"/>
  </w:num>
  <w:num w:numId="41">
    <w:abstractNumId w:val="28"/>
  </w:num>
  <w:num w:numId="42">
    <w:abstractNumId w:val="12"/>
  </w:num>
  <w:num w:numId="43">
    <w:abstractNumId w:val="4"/>
  </w:num>
  <w:num w:numId="44">
    <w:abstractNumId w:val="29"/>
  </w:num>
  <w:num w:numId="45">
    <w:abstractNumId w:val="7"/>
  </w:num>
  <w:num w:numId="46">
    <w:abstractNumId w:val="21"/>
  </w:num>
  <w:num w:numId="47">
    <w:abstractNumId w:val="6"/>
  </w:num>
  <w:num w:numId="48">
    <w:abstractNumId w:val="2"/>
  </w:num>
  <w:num w:numId="49">
    <w:abstractNumId w:val="2"/>
    <w:lvlOverride w:ilvl="0">
      <w:startOverride w:val="1"/>
    </w:lvlOverride>
  </w:num>
  <w:num w:numId="50">
    <w:abstractNumId w:val="32"/>
  </w:num>
  <w:num w:numId="51">
    <w:abstractNumId w:val="22"/>
  </w:num>
  <w:num w:numId="52">
    <w:abstractNumId w:val="35"/>
  </w:num>
  <w:num w:numId="53">
    <w:abstractNumId w:val="5"/>
  </w:num>
  <w:num w:numId="54">
    <w:abstractNumId w:val="40"/>
  </w:num>
  <w:num w:numId="55">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BBB"/>
    <w:rsid w:val="0000061D"/>
    <w:rsid w:val="00002829"/>
    <w:rsid w:val="00003969"/>
    <w:rsid w:val="0001275A"/>
    <w:rsid w:val="00014181"/>
    <w:rsid w:val="000179D7"/>
    <w:rsid w:val="00034FF7"/>
    <w:rsid w:val="00037DEC"/>
    <w:rsid w:val="000427B8"/>
    <w:rsid w:val="0004427A"/>
    <w:rsid w:val="00046DB7"/>
    <w:rsid w:val="00050157"/>
    <w:rsid w:val="000502D9"/>
    <w:rsid w:val="000540C3"/>
    <w:rsid w:val="00055A4A"/>
    <w:rsid w:val="000606D4"/>
    <w:rsid w:val="00060B50"/>
    <w:rsid w:val="00062FFE"/>
    <w:rsid w:val="000649FF"/>
    <w:rsid w:val="000707C6"/>
    <w:rsid w:val="0007194E"/>
    <w:rsid w:val="00072008"/>
    <w:rsid w:val="00081849"/>
    <w:rsid w:val="00081EF1"/>
    <w:rsid w:val="00085E68"/>
    <w:rsid w:val="000868B2"/>
    <w:rsid w:val="000A0751"/>
    <w:rsid w:val="000A0BEF"/>
    <w:rsid w:val="000A2743"/>
    <w:rsid w:val="000A6328"/>
    <w:rsid w:val="000A7264"/>
    <w:rsid w:val="000C5CA7"/>
    <w:rsid w:val="000C79D9"/>
    <w:rsid w:val="000D6F39"/>
    <w:rsid w:val="000D795E"/>
    <w:rsid w:val="000E22C3"/>
    <w:rsid w:val="000F0C07"/>
    <w:rsid w:val="000F0C18"/>
    <w:rsid w:val="000F3720"/>
    <w:rsid w:val="000F48D9"/>
    <w:rsid w:val="00101911"/>
    <w:rsid w:val="0010242E"/>
    <w:rsid w:val="00105C4D"/>
    <w:rsid w:val="00112A25"/>
    <w:rsid w:val="00113103"/>
    <w:rsid w:val="00114EFF"/>
    <w:rsid w:val="00120495"/>
    <w:rsid w:val="00120C79"/>
    <w:rsid w:val="001221E7"/>
    <w:rsid w:val="001227DE"/>
    <w:rsid w:val="00122DCA"/>
    <w:rsid w:val="00123A64"/>
    <w:rsid w:val="00126073"/>
    <w:rsid w:val="00127665"/>
    <w:rsid w:val="001334A6"/>
    <w:rsid w:val="001342F0"/>
    <w:rsid w:val="00135E1B"/>
    <w:rsid w:val="00137838"/>
    <w:rsid w:val="00137A59"/>
    <w:rsid w:val="001412EC"/>
    <w:rsid w:val="00144A24"/>
    <w:rsid w:val="001466ED"/>
    <w:rsid w:val="00146E80"/>
    <w:rsid w:val="00155EFF"/>
    <w:rsid w:val="001602F6"/>
    <w:rsid w:val="0016070A"/>
    <w:rsid w:val="00161318"/>
    <w:rsid w:val="0016571A"/>
    <w:rsid w:val="001658DC"/>
    <w:rsid w:val="00167735"/>
    <w:rsid w:val="00170C6D"/>
    <w:rsid w:val="001727CF"/>
    <w:rsid w:val="00183DB7"/>
    <w:rsid w:val="00187A34"/>
    <w:rsid w:val="00190F8C"/>
    <w:rsid w:val="0019243F"/>
    <w:rsid w:val="00193CEE"/>
    <w:rsid w:val="00194C12"/>
    <w:rsid w:val="00197F1E"/>
    <w:rsid w:val="001A2F47"/>
    <w:rsid w:val="001A6C36"/>
    <w:rsid w:val="001B044F"/>
    <w:rsid w:val="001B797E"/>
    <w:rsid w:val="001D1544"/>
    <w:rsid w:val="001D525D"/>
    <w:rsid w:val="001D57BF"/>
    <w:rsid w:val="001D6BA1"/>
    <w:rsid w:val="001E081C"/>
    <w:rsid w:val="001E47B2"/>
    <w:rsid w:val="001F002F"/>
    <w:rsid w:val="001F46B9"/>
    <w:rsid w:val="00201E21"/>
    <w:rsid w:val="0021063C"/>
    <w:rsid w:val="0021082D"/>
    <w:rsid w:val="00211DF0"/>
    <w:rsid w:val="00213B09"/>
    <w:rsid w:val="002310C8"/>
    <w:rsid w:val="00240415"/>
    <w:rsid w:val="002432F7"/>
    <w:rsid w:val="00243408"/>
    <w:rsid w:val="00243A1D"/>
    <w:rsid w:val="0024700C"/>
    <w:rsid w:val="00252949"/>
    <w:rsid w:val="0025403C"/>
    <w:rsid w:val="002624E5"/>
    <w:rsid w:val="002626EF"/>
    <w:rsid w:val="00264C95"/>
    <w:rsid w:val="00270D1E"/>
    <w:rsid w:val="00274292"/>
    <w:rsid w:val="0027683D"/>
    <w:rsid w:val="00276B6B"/>
    <w:rsid w:val="00282E5F"/>
    <w:rsid w:val="0028320D"/>
    <w:rsid w:val="002834CF"/>
    <w:rsid w:val="00284946"/>
    <w:rsid w:val="002A10DE"/>
    <w:rsid w:val="002A4207"/>
    <w:rsid w:val="002A4444"/>
    <w:rsid w:val="002B0FED"/>
    <w:rsid w:val="002B3EB5"/>
    <w:rsid w:val="002C0D74"/>
    <w:rsid w:val="002C6404"/>
    <w:rsid w:val="002E6F80"/>
    <w:rsid w:val="002E79FC"/>
    <w:rsid w:val="002F1A79"/>
    <w:rsid w:val="002F2D2E"/>
    <w:rsid w:val="002F4A42"/>
    <w:rsid w:val="002F5C6B"/>
    <w:rsid w:val="00303F90"/>
    <w:rsid w:val="0030505B"/>
    <w:rsid w:val="00305619"/>
    <w:rsid w:val="00307B84"/>
    <w:rsid w:val="00312371"/>
    <w:rsid w:val="00314530"/>
    <w:rsid w:val="003208AE"/>
    <w:rsid w:val="00323CA7"/>
    <w:rsid w:val="0032716A"/>
    <w:rsid w:val="00332B4B"/>
    <w:rsid w:val="00333024"/>
    <w:rsid w:val="003343BF"/>
    <w:rsid w:val="003416B0"/>
    <w:rsid w:val="0034254F"/>
    <w:rsid w:val="0034395B"/>
    <w:rsid w:val="00344AD4"/>
    <w:rsid w:val="003452F0"/>
    <w:rsid w:val="00346570"/>
    <w:rsid w:val="003477BF"/>
    <w:rsid w:val="00347C0C"/>
    <w:rsid w:val="0035089A"/>
    <w:rsid w:val="00351581"/>
    <w:rsid w:val="00351966"/>
    <w:rsid w:val="00354FEE"/>
    <w:rsid w:val="00361345"/>
    <w:rsid w:val="00362419"/>
    <w:rsid w:val="00365E54"/>
    <w:rsid w:val="003707CF"/>
    <w:rsid w:val="00371DCD"/>
    <w:rsid w:val="00384195"/>
    <w:rsid w:val="00385CE8"/>
    <w:rsid w:val="003861B1"/>
    <w:rsid w:val="00391E4B"/>
    <w:rsid w:val="003920B2"/>
    <w:rsid w:val="00394BA5"/>
    <w:rsid w:val="00394FFF"/>
    <w:rsid w:val="00396124"/>
    <w:rsid w:val="00397752"/>
    <w:rsid w:val="003A3CE7"/>
    <w:rsid w:val="003A55A7"/>
    <w:rsid w:val="003A7F85"/>
    <w:rsid w:val="003B2E1B"/>
    <w:rsid w:val="003B5832"/>
    <w:rsid w:val="003B6005"/>
    <w:rsid w:val="003B6058"/>
    <w:rsid w:val="003C181B"/>
    <w:rsid w:val="003C2B7E"/>
    <w:rsid w:val="003C3BBA"/>
    <w:rsid w:val="003C3D2F"/>
    <w:rsid w:val="003C701C"/>
    <w:rsid w:val="003D0C1D"/>
    <w:rsid w:val="003D4F09"/>
    <w:rsid w:val="003D7987"/>
    <w:rsid w:val="003E02C7"/>
    <w:rsid w:val="003E034E"/>
    <w:rsid w:val="003E2D83"/>
    <w:rsid w:val="003E467F"/>
    <w:rsid w:val="003F0A46"/>
    <w:rsid w:val="003F1CBE"/>
    <w:rsid w:val="00406DE2"/>
    <w:rsid w:val="00410BFA"/>
    <w:rsid w:val="004128C1"/>
    <w:rsid w:val="00412BA9"/>
    <w:rsid w:val="00416AE5"/>
    <w:rsid w:val="0042560C"/>
    <w:rsid w:val="00431B27"/>
    <w:rsid w:val="00431BCB"/>
    <w:rsid w:val="00432D88"/>
    <w:rsid w:val="004335C7"/>
    <w:rsid w:val="004351F0"/>
    <w:rsid w:val="00441030"/>
    <w:rsid w:val="00442CEC"/>
    <w:rsid w:val="0045091F"/>
    <w:rsid w:val="00456865"/>
    <w:rsid w:val="00457D10"/>
    <w:rsid w:val="00460D57"/>
    <w:rsid w:val="00460D81"/>
    <w:rsid w:val="00462C5E"/>
    <w:rsid w:val="004677CB"/>
    <w:rsid w:val="0047143C"/>
    <w:rsid w:val="00472414"/>
    <w:rsid w:val="00474082"/>
    <w:rsid w:val="00481CE6"/>
    <w:rsid w:val="00482018"/>
    <w:rsid w:val="004847D3"/>
    <w:rsid w:val="004861C2"/>
    <w:rsid w:val="004862E0"/>
    <w:rsid w:val="0049117A"/>
    <w:rsid w:val="004930AF"/>
    <w:rsid w:val="00495162"/>
    <w:rsid w:val="00497CDC"/>
    <w:rsid w:val="00497E94"/>
    <w:rsid w:val="004A0AAA"/>
    <w:rsid w:val="004A1E60"/>
    <w:rsid w:val="004B2904"/>
    <w:rsid w:val="004B29E4"/>
    <w:rsid w:val="004B4283"/>
    <w:rsid w:val="004B5ECE"/>
    <w:rsid w:val="004B7945"/>
    <w:rsid w:val="004C47C5"/>
    <w:rsid w:val="004C6475"/>
    <w:rsid w:val="004D0AFE"/>
    <w:rsid w:val="004D3CB2"/>
    <w:rsid w:val="004E0FC9"/>
    <w:rsid w:val="004E1F23"/>
    <w:rsid w:val="004F2B78"/>
    <w:rsid w:val="004F6A5D"/>
    <w:rsid w:val="00500D1D"/>
    <w:rsid w:val="00503C6C"/>
    <w:rsid w:val="005042A4"/>
    <w:rsid w:val="00504C82"/>
    <w:rsid w:val="00504D9F"/>
    <w:rsid w:val="00517502"/>
    <w:rsid w:val="0052125A"/>
    <w:rsid w:val="005214A6"/>
    <w:rsid w:val="00523545"/>
    <w:rsid w:val="00525494"/>
    <w:rsid w:val="00532B7A"/>
    <w:rsid w:val="0055028F"/>
    <w:rsid w:val="00550AE4"/>
    <w:rsid w:val="00555F20"/>
    <w:rsid w:val="00561F2B"/>
    <w:rsid w:val="00563F17"/>
    <w:rsid w:val="00564C13"/>
    <w:rsid w:val="00564FA9"/>
    <w:rsid w:val="0056639F"/>
    <w:rsid w:val="0056729F"/>
    <w:rsid w:val="0057018C"/>
    <w:rsid w:val="00571A1C"/>
    <w:rsid w:val="00575C2A"/>
    <w:rsid w:val="005830B8"/>
    <w:rsid w:val="00585B69"/>
    <w:rsid w:val="00591C16"/>
    <w:rsid w:val="00592C84"/>
    <w:rsid w:val="00593BBB"/>
    <w:rsid w:val="0059675F"/>
    <w:rsid w:val="00596DC9"/>
    <w:rsid w:val="00597581"/>
    <w:rsid w:val="005A25A2"/>
    <w:rsid w:val="005A35B8"/>
    <w:rsid w:val="005A45F5"/>
    <w:rsid w:val="005A7355"/>
    <w:rsid w:val="005B5713"/>
    <w:rsid w:val="005C661B"/>
    <w:rsid w:val="005D44BF"/>
    <w:rsid w:val="005D5EAD"/>
    <w:rsid w:val="005D655F"/>
    <w:rsid w:val="005D7CDD"/>
    <w:rsid w:val="005E0A9F"/>
    <w:rsid w:val="005E2753"/>
    <w:rsid w:val="005E6043"/>
    <w:rsid w:val="005F2A38"/>
    <w:rsid w:val="005F7037"/>
    <w:rsid w:val="005F744A"/>
    <w:rsid w:val="006018F8"/>
    <w:rsid w:val="00601DEF"/>
    <w:rsid w:val="0060288D"/>
    <w:rsid w:val="0060788F"/>
    <w:rsid w:val="00610AD0"/>
    <w:rsid w:val="006112FF"/>
    <w:rsid w:val="00615378"/>
    <w:rsid w:val="006156C1"/>
    <w:rsid w:val="00615A67"/>
    <w:rsid w:val="00620413"/>
    <w:rsid w:val="006217AB"/>
    <w:rsid w:val="00623043"/>
    <w:rsid w:val="006277D8"/>
    <w:rsid w:val="0063307B"/>
    <w:rsid w:val="00633FE1"/>
    <w:rsid w:val="0063434D"/>
    <w:rsid w:val="006344CF"/>
    <w:rsid w:val="006378FC"/>
    <w:rsid w:val="006438D5"/>
    <w:rsid w:val="00643D52"/>
    <w:rsid w:val="00653EEF"/>
    <w:rsid w:val="00662AFB"/>
    <w:rsid w:val="00663204"/>
    <w:rsid w:val="00667134"/>
    <w:rsid w:val="006815C1"/>
    <w:rsid w:val="00684211"/>
    <w:rsid w:val="00685F89"/>
    <w:rsid w:val="0069653D"/>
    <w:rsid w:val="006A2918"/>
    <w:rsid w:val="006A2F5F"/>
    <w:rsid w:val="006A6480"/>
    <w:rsid w:val="006A6ACE"/>
    <w:rsid w:val="006B401D"/>
    <w:rsid w:val="006C6515"/>
    <w:rsid w:val="006D0BB7"/>
    <w:rsid w:val="006D1771"/>
    <w:rsid w:val="006D45C2"/>
    <w:rsid w:val="006D4A46"/>
    <w:rsid w:val="006E430C"/>
    <w:rsid w:val="006F15EB"/>
    <w:rsid w:val="006F5E0F"/>
    <w:rsid w:val="006F70A8"/>
    <w:rsid w:val="0070091B"/>
    <w:rsid w:val="00707205"/>
    <w:rsid w:val="00710532"/>
    <w:rsid w:val="0071463B"/>
    <w:rsid w:val="00715250"/>
    <w:rsid w:val="00717E6E"/>
    <w:rsid w:val="007235B6"/>
    <w:rsid w:val="00727AD9"/>
    <w:rsid w:val="00727F9C"/>
    <w:rsid w:val="00742164"/>
    <w:rsid w:val="0074355E"/>
    <w:rsid w:val="00743815"/>
    <w:rsid w:val="0075402F"/>
    <w:rsid w:val="00754843"/>
    <w:rsid w:val="007579B3"/>
    <w:rsid w:val="00770620"/>
    <w:rsid w:val="00775D4A"/>
    <w:rsid w:val="00776883"/>
    <w:rsid w:val="00780A2D"/>
    <w:rsid w:val="007831BE"/>
    <w:rsid w:val="0079005E"/>
    <w:rsid w:val="00796481"/>
    <w:rsid w:val="007A72AA"/>
    <w:rsid w:val="007B71B3"/>
    <w:rsid w:val="007B7F6A"/>
    <w:rsid w:val="007C2335"/>
    <w:rsid w:val="007C2E96"/>
    <w:rsid w:val="007C3544"/>
    <w:rsid w:val="007C4071"/>
    <w:rsid w:val="007C6ADC"/>
    <w:rsid w:val="007E12AD"/>
    <w:rsid w:val="007E47A3"/>
    <w:rsid w:val="007F2A01"/>
    <w:rsid w:val="008108A7"/>
    <w:rsid w:val="00811F64"/>
    <w:rsid w:val="0081515B"/>
    <w:rsid w:val="0081772A"/>
    <w:rsid w:val="008201E1"/>
    <w:rsid w:val="008206BE"/>
    <w:rsid w:val="00833715"/>
    <w:rsid w:val="00834055"/>
    <w:rsid w:val="0083662C"/>
    <w:rsid w:val="008517C7"/>
    <w:rsid w:val="008560E8"/>
    <w:rsid w:val="00863389"/>
    <w:rsid w:val="00864451"/>
    <w:rsid w:val="00870534"/>
    <w:rsid w:val="00871A65"/>
    <w:rsid w:val="00872002"/>
    <w:rsid w:val="00874AAB"/>
    <w:rsid w:val="00875127"/>
    <w:rsid w:val="0087772D"/>
    <w:rsid w:val="00882F26"/>
    <w:rsid w:val="00892DB9"/>
    <w:rsid w:val="00894ADB"/>
    <w:rsid w:val="008A1013"/>
    <w:rsid w:val="008A1558"/>
    <w:rsid w:val="008A2132"/>
    <w:rsid w:val="008A2195"/>
    <w:rsid w:val="008B0543"/>
    <w:rsid w:val="008B1755"/>
    <w:rsid w:val="008B1E85"/>
    <w:rsid w:val="008B46F6"/>
    <w:rsid w:val="008C31B3"/>
    <w:rsid w:val="008C3BD2"/>
    <w:rsid w:val="008C4004"/>
    <w:rsid w:val="008C6131"/>
    <w:rsid w:val="008C7FF1"/>
    <w:rsid w:val="008D6168"/>
    <w:rsid w:val="008E440B"/>
    <w:rsid w:val="008E488F"/>
    <w:rsid w:val="008F0304"/>
    <w:rsid w:val="008F148C"/>
    <w:rsid w:val="008F31B8"/>
    <w:rsid w:val="008F7619"/>
    <w:rsid w:val="009119A4"/>
    <w:rsid w:val="00915C5A"/>
    <w:rsid w:val="00923B93"/>
    <w:rsid w:val="00924112"/>
    <w:rsid w:val="0092536A"/>
    <w:rsid w:val="00927BD4"/>
    <w:rsid w:val="00932E36"/>
    <w:rsid w:val="00935B72"/>
    <w:rsid w:val="00944A77"/>
    <w:rsid w:val="00944F7A"/>
    <w:rsid w:val="00946396"/>
    <w:rsid w:val="00960F2A"/>
    <w:rsid w:val="00961250"/>
    <w:rsid w:val="0096463D"/>
    <w:rsid w:val="009650AA"/>
    <w:rsid w:val="0096518C"/>
    <w:rsid w:val="009721E1"/>
    <w:rsid w:val="00972295"/>
    <w:rsid w:val="00973CA2"/>
    <w:rsid w:val="00974271"/>
    <w:rsid w:val="00974B25"/>
    <w:rsid w:val="009810D4"/>
    <w:rsid w:val="0098389F"/>
    <w:rsid w:val="00987B50"/>
    <w:rsid w:val="00995900"/>
    <w:rsid w:val="009966AB"/>
    <w:rsid w:val="009A0A18"/>
    <w:rsid w:val="009A4FEC"/>
    <w:rsid w:val="009A522D"/>
    <w:rsid w:val="009B3709"/>
    <w:rsid w:val="009C23CC"/>
    <w:rsid w:val="009C339D"/>
    <w:rsid w:val="009C4000"/>
    <w:rsid w:val="009C5D51"/>
    <w:rsid w:val="009C5EA2"/>
    <w:rsid w:val="009D06C3"/>
    <w:rsid w:val="009D2712"/>
    <w:rsid w:val="009E1002"/>
    <w:rsid w:val="009E5134"/>
    <w:rsid w:val="009E6C02"/>
    <w:rsid w:val="009F2FD9"/>
    <w:rsid w:val="009F746D"/>
    <w:rsid w:val="00A02268"/>
    <w:rsid w:val="00A02EF6"/>
    <w:rsid w:val="00A032ED"/>
    <w:rsid w:val="00A053E4"/>
    <w:rsid w:val="00A06B6D"/>
    <w:rsid w:val="00A10164"/>
    <w:rsid w:val="00A109CB"/>
    <w:rsid w:val="00A159A9"/>
    <w:rsid w:val="00A16A2B"/>
    <w:rsid w:val="00A16EE6"/>
    <w:rsid w:val="00A17B15"/>
    <w:rsid w:val="00A20F8C"/>
    <w:rsid w:val="00A22B45"/>
    <w:rsid w:val="00A30FCC"/>
    <w:rsid w:val="00A32571"/>
    <w:rsid w:val="00A328FE"/>
    <w:rsid w:val="00A409D3"/>
    <w:rsid w:val="00A41ACE"/>
    <w:rsid w:val="00A54D1C"/>
    <w:rsid w:val="00A553AF"/>
    <w:rsid w:val="00A56B8E"/>
    <w:rsid w:val="00A606CD"/>
    <w:rsid w:val="00A678CA"/>
    <w:rsid w:val="00A67EFD"/>
    <w:rsid w:val="00A73363"/>
    <w:rsid w:val="00A76098"/>
    <w:rsid w:val="00A867B9"/>
    <w:rsid w:val="00A87178"/>
    <w:rsid w:val="00AA2A0F"/>
    <w:rsid w:val="00AA6C65"/>
    <w:rsid w:val="00AA7529"/>
    <w:rsid w:val="00AB08F8"/>
    <w:rsid w:val="00AB213F"/>
    <w:rsid w:val="00AB3541"/>
    <w:rsid w:val="00AB4E27"/>
    <w:rsid w:val="00AC2B89"/>
    <w:rsid w:val="00AC4269"/>
    <w:rsid w:val="00AC4389"/>
    <w:rsid w:val="00AC44FC"/>
    <w:rsid w:val="00AC5F04"/>
    <w:rsid w:val="00AC6C37"/>
    <w:rsid w:val="00AD4023"/>
    <w:rsid w:val="00AD4DE5"/>
    <w:rsid w:val="00AD4E83"/>
    <w:rsid w:val="00AD5F65"/>
    <w:rsid w:val="00AD7A93"/>
    <w:rsid w:val="00AE174A"/>
    <w:rsid w:val="00AE210B"/>
    <w:rsid w:val="00AE66BE"/>
    <w:rsid w:val="00AE6878"/>
    <w:rsid w:val="00AE78AD"/>
    <w:rsid w:val="00AF1BD9"/>
    <w:rsid w:val="00AF1EDE"/>
    <w:rsid w:val="00AF591D"/>
    <w:rsid w:val="00AF6724"/>
    <w:rsid w:val="00B001FA"/>
    <w:rsid w:val="00B0056E"/>
    <w:rsid w:val="00B0366D"/>
    <w:rsid w:val="00B04D26"/>
    <w:rsid w:val="00B06065"/>
    <w:rsid w:val="00B06BBF"/>
    <w:rsid w:val="00B074EF"/>
    <w:rsid w:val="00B10769"/>
    <w:rsid w:val="00B15F15"/>
    <w:rsid w:val="00B20500"/>
    <w:rsid w:val="00B23400"/>
    <w:rsid w:val="00B256C4"/>
    <w:rsid w:val="00B25E87"/>
    <w:rsid w:val="00B306EF"/>
    <w:rsid w:val="00B35393"/>
    <w:rsid w:val="00B4314E"/>
    <w:rsid w:val="00B451D2"/>
    <w:rsid w:val="00B459C9"/>
    <w:rsid w:val="00B524D9"/>
    <w:rsid w:val="00B529F8"/>
    <w:rsid w:val="00B52D4F"/>
    <w:rsid w:val="00B53055"/>
    <w:rsid w:val="00B53651"/>
    <w:rsid w:val="00B65D31"/>
    <w:rsid w:val="00B67303"/>
    <w:rsid w:val="00B7088A"/>
    <w:rsid w:val="00B72A6B"/>
    <w:rsid w:val="00B75682"/>
    <w:rsid w:val="00B76080"/>
    <w:rsid w:val="00B779FD"/>
    <w:rsid w:val="00B80921"/>
    <w:rsid w:val="00B809DB"/>
    <w:rsid w:val="00B80A6D"/>
    <w:rsid w:val="00B843E9"/>
    <w:rsid w:val="00B84CB0"/>
    <w:rsid w:val="00B86A00"/>
    <w:rsid w:val="00B870D6"/>
    <w:rsid w:val="00B9498E"/>
    <w:rsid w:val="00B976E1"/>
    <w:rsid w:val="00BA0DFA"/>
    <w:rsid w:val="00BA176C"/>
    <w:rsid w:val="00BB71C5"/>
    <w:rsid w:val="00BC4D86"/>
    <w:rsid w:val="00BC5AC4"/>
    <w:rsid w:val="00BC601C"/>
    <w:rsid w:val="00BC70C1"/>
    <w:rsid w:val="00BD1ED2"/>
    <w:rsid w:val="00BD67E5"/>
    <w:rsid w:val="00BE36FE"/>
    <w:rsid w:val="00BE4866"/>
    <w:rsid w:val="00BE5C94"/>
    <w:rsid w:val="00BE67D9"/>
    <w:rsid w:val="00BF3030"/>
    <w:rsid w:val="00BF3810"/>
    <w:rsid w:val="00BF54A3"/>
    <w:rsid w:val="00BF704E"/>
    <w:rsid w:val="00C00151"/>
    <w:rsid w:val="00C02540"/>
    <w:rsid w:val="00C05145"/>
    <w:rsid w:val="00C05A02"/>
    <w:rsid w:val="00C111B0"/>
    <w:rsid w:val="00C15695"/>
    <w:rsid w:val="00C15CA5"/>
    <w:rsid w:val="00C1779A"/>
    <w:rsid w:val="00C2767D"/>
    <w:rsid w:val="00C31B7C"/>
    <w:rsid w:val="00C40B67"/>
    <w:rsid w:val="00C40CAC"/>
    <w:rsid w:val="00C41095"/>
    <w:rsid w:val="00C414D0"/>
    <w:rsid w:val="00C429A7"/>
    <w:rsid w:val="00C4377F"/>
    <w:rsid w:val="00C4554D"/>
    <w:rsid w:val="00C47A43"/>
    <w:rsid w:val="00C50E10"/>
    <w:rsid w:val="00C5365F"/>
    <w:rsid w:val="00C5402D"/>
    <w:rsid w:val="00C54CD2"/>
    <w:rsid w:val="00C561F3"/>
    <w:rsid w:val="00C6255B"/>
    <w:rsid w:val="00C6264D"/>
    <w:rsid w:val="00C62EDA"/>
    <w:rsid w:val="00C63189"/>
    <w:rsid w:val="00C66FE5"/>
    <w:rsid w:val="00C67D21"/>
    <w:rsid w:val="00C7258A"/>
    <w:rsid w:val="00C7263B"/>
    <w:rsid w:val="00C828A9"/>
    <w:rsid w:val="00C82EBD"/>
    <w:rsid w:val="00C85F8B"/>
    <w:rsid w:val="00C92401"/>
    <w:rsid w:val="00C925AE"/>
    <w:rsid w:val="00C94CB7"/>
    <w:rsid w:val="00C9620C"/>
    <w:rsid w:val="00C963D5"/>
    <w:rsid w:val="00CA1814"/>
    <w:rsid w:val="00CA1C9D"/>
    <w:rsid w:val="00CA2216"/>
    <w:rsid w:val="00CA3D94"/>
    <w:rsid w:val="00CA7B27"/>
    <w:rsid w:val="00CB2D86"/>
    <w:rsid w:val="00CB2E71"/>
    <w:rsid w:val="00CB46E5"/>
    <w:rsid w:val="00CC2057"/>
    <w:rsid w:val="00CC6BDD"/>
    <w:rsid w:val="00CD0E45"/>
    <w:rsid w:val="00CD1158"/>
    <w:rsid w:val="00CD1537"/>
    <w:rsid w:val="00CD1D35"/>
    <w:rsid w:val="00CD20FF"/>
    <w:rsid w:val="00CD6455"/>
    <w:rsid w:val="00CF0DA9"/>
    <w:rsid w:val="00D0349F"/>
    <w:rsid w:val="00D03523"/>
    <w:rsid w:val="00D06C01"/>
    <w:rsid w:val="00D13264"/>
    <w:rsid w:val="00D14727"/>
    <w:rsid w:val="00D15A6F"/>
    <w:rsid w:val="00D16CDC"/>
    <w:rsid w:val="00D2234F"/>
    <w:rsid w:val="00D23263"/>
    <w:rsid w:val="00D234DF"/>
    <w:rsid w:val="00D306C1"/>
    <w:rsid w:val="00D334A5"/>
    <w:rsid w:val="00D35785"/>
    <w:rsid w:val="00D4279E"/>
    <w:rsid w:val="00D440AE"/>
    <w:rsid w:val="00D462F0"/>
    <w:rsid w:val="00D50262"/>
    <w:rsid w:val="00D61E4C"/>
    <w:rsid w:val="00D62FE1"/>
    <w:rsid w:val="00D64425"/>
    <w:rsid w:val="00D65746"/>
    <w:rsid w:val="00D66E73"/>
    <w:rsid w:val="00D73C0D"/>
    <w:rsid w:val="00D763E1"/>
    <w:rsid w:val="00D772D9"/>
    <w:rsid w:val="00D82294"/>
    <w:rsid w:val="00D8699F"/>
    <w:rsid w:val="00D87324"/>
    <w:rsid w:val="00D9135D"/>
    <w:rsid w:val="00D913EC"/>
    <w:rsid w:val="00D91D46"/>
    <w:rsid w:val="00D94214"/>
    <w:rsid w:val="00D968DC"/>
    <w:rsid w:val="00DA3868"/>
    <w:rsid w:val="00DA4263"/>
    <w:rsid w:val="00DA6131"/>
    <w:rsid w:val="00DA70BB"/>
    <w:rsid w:val="00DB10D1"/>
    <w:rsid w:val="00DB25E6"/>
    <w:rsid w:val="00DB28EF"/>
    <w:rsid w:val="00DB6EC3"/>
    <w:rsid w:val="00DC610A"/>
    <w:rsid w:val="00DC69C5"/>
    <w:rsid w:val="00DD1CFC"/>
    <w:rsid w:val="00DD5F4D"/>
    <w:rsid w:val="00DD6603"/>
    <w:rsid w:val="00DD6C88"/>
    <w:rsid w:val="00DE10AA"/>
    <w:rsid w:val="00DE71ED"/>
    <w:rsid w:val="00DF4051"/>
    <w:rsid w:val="00DF58F7"/>
    <w:rsid w:val="00E03375"/>
    <w:rsid w:val="00E03431"/>
    <w:rsid w:val="00E03F1B"/>
    <w:rsid w:val="00E04981"/>
    <w:rsid w:val="00E12CC2"/>
    <w:rsid w:val="00E13B35"/>
    <w:rsid w:val="00E14FB6"/>
    <w:rsid w:val="00E16D01"/>
    <w:rsid w:val="00E20365"/>
    <w:rsid w:val="00E25AF1"/>
    <w:rsid w:val="00E26FE3"/>
    <w:rsid w:val="00E2732F"/>
    <w:rsid w:val="00E27B8F"/>
    <w:rsid w:val="00E37244"/>
    <w:rsid w:val="00E424B4"/>
    <w:rsid w:val="00E44846"/>
    <w:rsid w:val="00E46E5D"/>
    <w:rsid w:val="00E512C7"/>
    <w:rsid w:val="00E53819"/>
    <w:rsid w:val="00E548E8"/>
    <w:rsid w:val="00E551CC"/>
    <w:rsid w:val="00E600C6"/>
    <w:rsid w:val="00E646AE"/>
    <w:rsid w:val="00E70CD9"/>
    <w:rsid w:val="00E81346"/>
    <w:rsid w:val="00E81DA1"/>
    <w:rsid w:val="00E93822"/>
    <w:rsid w:val="00E944BF"/>
    <w:rsid w:val="00E965B7"/>
    <w:rsid w:val="00E971E9"/>
    <w:rsid w:val="00E9738A"/>
    <w:rsid w:val="00EA70EB"/>
    <w:rsid w:val="00EA7705"/>
    <w:rsid w:val="00EB56A4"/>
    <w:rsid w:val="00EB6761"/>
    <w:rsid w:val="00EC597F"/>
    <w:rsid w:val="00ED1692"/>
    <w:rsid w:val="00ED1F7A"/>
    <w:rsid w:val="00ED67E5"/>
    <w:rsid w:val="00EE1FE1"/>
    <w:rsid w:val="00EE2518"/>
    <w:rsid w:val="00EE3349"/>
    <w:rsid w:val="00EE366C"/>
    <w:rsid w:val="00EE668F"/>
    <w:rsid w:val="00EE75D6"/>
    <w:rsid w:val="00EF1117"/>
    <w:rsid w:val="00EF5BA9"/>
    <w:rsid w:val="00EF5BEB"/>
    <w:rsid w:val="00F07103"/>
    <w:rsid w:val="00F07D8B"/>
    <w:rsid w:val="00F14459"/>
    <w:rsid w:val="00F175E0"/>
    <w:rsid w:val="00F20179"/>
    <w:rsid w:val="00F2146B"/>
    <w:rsid w:val="00F22CBB"/>
    <w:rsid w:val="00F23523"/>
    <w:rsid w:val="00F24557"/>
    <w:rsid w:val="00F259DE"/>
    <w:rsid w:val="00F31C05"/>
    <w:rsid w:val="00F32E0C"/>
    <w:rsid w:val="00F33B93"/>
    <w:rsid w:val="00F40878"/>
    <w:rsid w:val="00F45A6F"/>
    <w:rsid w:val="00F46547"/>
    <w:rsid w:val="00F5040B"/>
    <w:rsid w:val="00F50E2D"/>
    <w:rsid w:val="00F53E13"/>
    <w:rsid w:val="00F56431"/>
    <w:rsid w:val="00F57C7C"/>
    <w:rsid w:val="00F64F1E"/>
    <w:rsid w:val="00F66406"/>
    <w:rsid w:val="00F67A4F"/>
    <w:rsid w:val="00F71C44"/>
    <w:rsid w:val="00F74A83"/>
    <w:rsid w:val="00F758C1"/>
    <w:rsid w:val="00F821D3"/>
    <w:rsid w:val="00F83273"/>
    <w:rsid w:val="00F8699A"/>
    <w:rsid w:val="00F869F4"/>
    <w:rsid w:val="00F90FD6"/>
    <w:rsid w:val="00F94663"/>
    <w:rsid w:val="00F95C50"/>
    <w:rsid w:val="00F97726"/>
    <w:rsid w:val="00FA4569"/>
    <w:rsid w:val="00FA5810"/>
    <w:rsid w:val="00FB0CB3"/>
    <w:rsid w:val="00FC019C"/>
    <w:rsid w:val="00FC7947"/>
    <w:rsid w:val="00FD16A1"/>
    <w:rsid w:val="00FD2A5D"/>
    <w:rsid w:val="00FD4555"/>
    <w:rsid w:val="00FE5729"/>
    <w:rsid w:val="00FE7D19"/>
    <w:rsid w:val="00FF1006"/>
    <w:rsid w:val="00FF457F"/>
    <w:rsid w:val="00FF5771"/>
    <w:rsid w:val="00FF58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2705"/>
    <o:shapelayout v:ext="edit">
      <o:idmap v:ext="edit" data="1"/>
    </o:shapelayout>
  </w:shapeDefaults>
  <w:decimalSymbol w:val="."/>
  <w:listSeparator w:val=","/>
  <w14:docId w14:val="756DC808"/>
  <w15:docId w15:val="{7E6183FF-5B48-4D6C-B72F-D687B03B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005"/>
    <w:pPr>
      <w:spacing w:after="120"/>
      <w:jc w:val="both"/>
    </w:pPr>
    <w:rPr>
      <w:rFonts w:ascii="Arial" w:hAnsi="Arial"/>
      <w:szCs w:val="24"/>
    </w:rPr>
  </w:style>
  <w:style w:type="paragraph" w:styleId="Heading1">
    <w:name w:val="heading 1"/>
    <w:basedOn w:val="Normal"/>
    <w:next w:val="Normal"/>
    <w:qFormat/>
    <w:rsid w:val="003B6005"/>
    <w:pPr>
      <w:keepNext/>
      <w:numPr>
        <w:numId w:val="12"/>
      </w:numPr>
      <w:spacing w:before="240" w:after="60"/>
      <w:outlineLvl w:val="0"/>
    </w:pPr>
    <w:rPr>
      <w:rFonts w:cs="Arial"/>
      <w:b/>
      <w:bCs/>
      <w:kern w:val="32"/>
      <w:sz w:val="32"/>
      <w:szCs w:val="32"/>
    </w:rPr>
  </w:style>
  <w:style w:type="paragraph" w:styleId="Heading2">
    <w:name w:val="heading 2"/>
    <w:basedOn w:val="Normal"/>
    <w:next w:val="Normal"/>
    <w:link w:val="Heading2Char"/>
    <w:semiHidden/>
    <w:unhideWhenUsed/>
    <w:qFormat/>
    <w:rsid w:val="003B6005"/>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rsid w:val="003B60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6005"/>
  </w:style>
  <w:style w:type="paragraph" w:customStyle="1" w:styleId="Default">
    <w:name w:val="Default"/>
    <w:semiHidden/>
    <w:rsid w:val="00593BBB"/>
    <w:pPr>
      <w:autoSpaceDE w:val="0"/>
      <w:autoSpaceDN w:val="0"/>
      <w:adjustRightInd w:val="0"/>
    </w:pPr>
    <w:rPr>
      <w:color w:val="000000"/>
      <w:sz w:val="24"/>
      <w:szCs w:val="24"/>
    </w:rPr>
  </w:style>
  <w:style w:type="paragraph" w:styleId="ListParagraph">
    <w:name w:val="List Paragraph"/>
    <w:basedOn w:val="Normal"/>
    <w:uiPriority w:val="34"/>
    <w:qFormat/>
    <w:rsid w:val="00A06B6D"/>
    <w:pPr>
      <w:ind w:left="720"/>
      <w:contextualSpacing/>
    </w:pPr>
  </w:style>
  <w:style w:type="paragraph" w:styleId="BalloonText">
    <w:name w:val="Balloon Text"/>
    <w:basedOn w:val="Normal"/>
    <w:semiHidden/>
    <w:rsid w:val="004C6475"/>
    <w:rPr>
      <w:rFonts w:ascii="Tahoma" w:hAnsi="Tahoma" w:cs="Tahoma"/>
      <w:sz w:val="16"/>
      <w:szCs w:val="16"/>
    </w:rPr>
  </w:style>
  <w:style w:type="character" w:styleId="Hyperlink">
    <w:name w:val="Hyperlink"/>
    <w:uiPriority w:val="99"/>
    <w:unhideWhenUsed/>
    <w:rsid w:val="003B6005"/>
    <w:rPr>
      <w:color w:val="0000FF"/>
      <w:u w:val="single"/>
    </w:rPr>
  </w:style>
  <w:style w:type="paragraph" w:customStyle="1" w:styleId="COTCOCLV2-ASDEFCON">
    <w:name w:val="COT/COC LV2 - ASDEFCON"/>
    <w:basedOn w:val="ASDEFCONNormal"/>
    <w:next w:val="COTCOCLV3-ASDEFCON"/>
    <w:rsid w:val="003B6005"/>
    <w:pPr>
      <w:keepNext/>
      <w:keepLines/>
      <w:numPr>
        <w:ilvl w:val="1"/>
        <w:numId w:val="4"/>
      </w:numPr>
      <w:pBdr>
        <w:bottom w:val="single" w:sz="4" w:space="1" w:color="auto"/>
      </w:pBdr>
    </w:pPr>
    <w:rPr>
      <w:b/>
    </w:rPr>
  </w:style>
  <w:style w:type="paragraph" w:customStyle="1" w:styleId="ASDEFCONNormal">
    <w:name w:val="ASDEFCON Normal"/>
    <w:link w:val="ASDEFCONNormalChar"/>
    <w:rsid w:val="003B6005"/>
    <w:pPr>
      <w:spacing w:after="120"/>
      <w:jc w:val="both"/>
    </w:pPr>
    <w:rPr>
      <w:rFonts w:ascii="Arial" w:hAnsi="Arial"/>
      <w:color w:val="000000"/>
      <w:szCs w:val="40"/>
    </w:rPr>
  </w:style>
  <w:style w:type="character" w:customStyle="1" w:styleId="ASDEFCONNormalChar">
    <w:name w:val="ASDEFCON Normal Char"/>
    <w:link w:val="ASDEFCONNormal"/>
    <w:rsid w:val="003B6005"/>
    <w:rPr>
      <w:rFonts w:ascii="Arial" w:hAnsi="Arial"/>
      <w:color w:val="000000"/>
      <w:szCs w:val="40"/>
    </w:rPr>
  </w:style>
  <w:style w:type="paragraph" w:customStyle="1" w:styleId="COTCOCLV3-ASDEFCON">
    <w:name w:val="COT/COC LV3 - ASDEFCON"/>
    <w:basedOn w:val="ASDEFCONNormal"/>
    <w:rsid w:val="003B6005"/>
    <w:pPr>
      <w:numPr>
        <w:ilvl w:val="2"/>
        <w:numId w:val="4"/>
      </w:numPr>
    </w:pPr>
  </w:style>
  <w:style w:type="paragraph" w:customStyle="1" w:styleId="COTCOCLV1-ASDEFCON">
    <w:name w:val="COT/COC LV1 - ASDEFCON"/>
    <w:basedOn w:val="ASDEFCONNormal"/>
    <w:next w:val="COTCOCLV2-ASDEFCON"/>
    <w:rsid w:val="003B6005"/>
    <w:pPr>
      <w:keepNext/>
      <w:keepLines/>
      <w:numPr>
        <w:numId w:val="4"/>
      </w:numPr>
      <w:spacing w:before="240"/>
    </w:pPr>
    <w:rPr>
      <w:b/>
      <w:caps/>
    </w:rPr>
  </w:style>
  <w:style w:type="paragraph" w:customStyle="1" w:styleId="COTCOCLV4-ASDEFCON">
    <w:name w:val="COT/COC LV4 - ASDEFCON"/>
    <w:basedOn w:val="ASDEFCONNormal"/>
    <w:rsid w:val="003B6005"/>
    <w:pPr>
      <w:numPr>
        <w:ilvl w:val="3"/>
        <w:numId w:val="4"/>
      </w:numPr>
    </w:pPr>
  </w:style>
  <w:style w:type="paragraph" w:customStyle="1" w:styleId="COTCOCLV5-ASDEFCON">
    <w:name w:val="COT/COC LV5 - ASDEFCON"/>
    <w:basedOn w:val="ASDEFCONNormal"/>
    <w:rsid w:val="003B6005"/>
    <w:pPr>
      <w:numPr>
        <w:ilvl w:val="4"/>
        <w:numId w:val="4"/>
      </w:numPr>
    </w:pPr>
  </w:style>
  <w:style w:type="paragraph" w:customStyle="1" w:styleId="COTCOCLV6-ASDEFCON">
    <w:name w:val="COT/COC LV6 - ASDEFCON"/>
    <w:basedOn w:val="ASDEFCONNormal"/>
    <w:rsid w:val="003B6005"/>
    <w:pPr>
      <w:keepLines/>
      <w:numPr>
        <w:ilvl w:val="5"/>
        <w:numId w:val="4"/>
      </w:numPr>
    </w:pPr>
  </w:style>
  <w:style w:type="paragraph" w:customStyle="1" w:styleId="ASDEFCONOption">
    <w:name w:val="ASDEFCON Option"/>
    <w:basedOn w:val="ASDEFCONNormal"/>
    <w:rsid w:val="003B6005"/>
    <w:pPr>
      <w:keepNext/>
      <w:spacing w:before="60"/>
    </w:pPr>
    <w:rPr>
      <w:b/>
      <w:i/>
      <w:szCs w:val="24"/>
    </w:rPr>
  </w:style>
  <w:style w:type="paragraph" w:customStyle="1" w:styleId="NoteToDrafters-ASDEFCON">
    <w:name w:val="Note To Drafters - ASDEFCON"/>
    <w:basedOn w:val="ASDEFCONNormal"/>
    <w:rsid w:val="003B6005"/>
    <w:pPr>
      <w:keepNext/>
      <w:shd w:val="clear" w:color="auto" w:fill="000000"/>
    </w:pPr>
    <w:rPr>
      <w:b/>
      <w:i/>
      <w:color w:val="FFFFFF"/>
    </w:rPr>
  </w:style>
  <w:style w:type="paragraph" w:customStyle="1" w:styleId="NoteToTenderers-ASDEFCON">
    <w:name w:val="Note To Tenderers - ASDEFCON"/>
    <w:basedOn w:val="ASDEFCONNormal"/>
    <w:rsid w:val="003B6005"/>
    <w:pPr>
      <w:keepNext/>
      <w:shd w:val="pct15" w:color="auto" w:fill="auto"/>
    </w:pPr>
    <w:rPr>
      <w:b/>
      <w:i/>
    </w:rPr>
  </w:style>
  <w:style w:type="paragraph" w:customStyle="1" w:styleId="ASDEFCONTitle">
    <w:name w:val="ASDEFCON Title"/>
    <w:basedOn w:val="Normal"/>
    <w:rsid w:val="003B6005"/>
    <w:pPr>
      <w:keepLines/>
      <w:spacing w:before="240"/>
      <w:jc w:val="center"/>
    </w:pPr>
    <w:rPr>
      <w:b/>
      <w:caps/>
    </w:rPr>
  </w:style>
  <w:style w:type="paragraph" w:customStyle="1" w:styleId="ATTANNLV1-ASDEFCON">
    <w:name w:val="ATT/ANN LV1 - ASDEFCON"/>
    <w:basedOn w:val="ASDEFCONNormal"/>
    <w:next w:val="ATTANNLV2-ASDEFCON"/>
    <w:rsid w:val="003B6005"/>
    <w:pPr>
      <w:keepNext/>
      <w:keepLines/>
      <w:numPr>
        <w:numId w:val="5"/>
      </w:numPr>
      <w:spacing w:before="240"/>
    </w:pPr>
    <w:rPr>
      <w:rFonts w:ascii="Arial Bold" w:hAnsi="Arial Bold"/>
      <w:b/>
      <w:caps/>
      <w:szCs w:val="24"/>
    </w:rPr>
  </w:style>
  <w:style w:type="paragraph" w:customStyle="1" w:styleId="ATTANNLV2-ASDEFCON">
    <w:name w:val="ATT/ANN LV2 - ASDEFCON"/>
    <w:basedOn w:val="ASDEFCONNormal"/>
    <w:link w:val="ATTANNLV2-ASDEFCONChar"/>
    <w:rsid w:val="003B6005"/>
    <w:pPr>
      <w:numPr>
        <w:ilvl w:val="1"/>
        <w:numId w:val="5"/>
      </w:numPr>
    </w:pPr>
    <w:rPr>
      <w:szCs w:val="24"/>
    </w:rPr>
  </w:style>
  <w:style w:type="character" w:customStyle="1" w:styleId="ATTANNLV2-ASDEFCONChar">
    <w:name w:val="ATT/ANN LV2 - ASDEFCON Char"/>
    <w:link w:val="ATTANNLV2-ASDEFCON"/>
    <w:rsid w:val="003B6005"/>
    <w:rPr>
      <w:rFonts w:ascii="Arial" w:hAnsi="Arial"/>
      <w:color w:val="000000"/>
      <w:szCs w:val="24"/>
    </w:rPr>
  </w:style>
  <w:style w:type="paragraph" w:customStyle="1" w:styleId="ATTANNLV3-ASDEFCON">
    <w:name w:val="ATT/ANN LV3 - ASDEFCON"/>
    <w:basedOn w:val="ASDEFCONNormal"/>
    <w:rsid w:val="003B6005"/>
    <w:pPr>
      <w:numPr>
        <w:ilvl w:val="2"/>
        <w:numId w:val="5"/>
      </w:numPr>
    </w:pPr>
    <w:rPr>
      <w:szCs w:val="24"/>
    </w:rPr>
  </w:style>
  <w:style w:type="paragraph" w:customStyle="1" w:styleId="ATTANNLV4-ASDEFCON">
    <w:name w:val="ATT/ANN LV4 - ASDEFCON"/>
    <w:basedOn w:val="ASDEFCONNormal"/>
    <w:rsid w:val="003B6005"/>
    <w:pPr>
      <w:numPr>
        <w:ilvl w:val="3"/>
        <w:numId w:val="5"/>
      </w:numPr>
    </w:pPr>
    <w:rPr>
      <w:szCs w:val="24"/>
    </w:rPr>
  </w:style>
  <w:style w:type="paragraph" w:customStyle="1" w:styleId="ASDEFCONCoverTitle">
    <w:name w:val="ASDEFCON Cover Title"/>
    <w:rsid w:val="003B6005"/>
    <w:pPr>
      <w:jc w:val="center"/>
    </w:pPr>
    <w:rPr>
      <w:rFonts w:ascii="Georgia" w:hAnsi="Georgia"/>
      <w:b/>
      <w:color w:val="000000"/>
      <w:sz w:val="100"/>
      <w:szCs w:val="24"/>
    </w:rPr>
  </w:style>
  <w:style w:type="paragraph" w:customStyle="1" w:styleId="ASDEFCONHeaderFooterLeft">
    <w:name w:val="ASDEFCON Header/Footer Left"/>
    <w:basedOn w:val="ASDEFCONNormal"/>
    <w:rsid w:val="003B6005"/>
    <w:pPr>
      <w:spacing w:after="0"/>
      <w:jc w:val="left"/>
    </w:pPr>
    <w:rPr>
      <w:sz w:val="16"/>
      <w:szCs w:val="24"/>
    </w:rPr>
  </w:style>
  <w:style w:type="paragraph" w:customStyle="1" w:styleId="ASDEFCONCoverPageIncorp">
    <w:name w:val="ASDEFCON Cover Page Incorp"/>
    <w:rsid w:val="003B6005"/>
    <w:pPr>
      <w:keepNext/>
      <w:spacing w:before="480"/>
      <w:ind w:firstLine="1701"/>
    </w:pPr>
    <w:rPr>
      <w:rFonts w:ascii="Franklin Gothic Medium" w:hAnsi="Franklin Gothic Medium"/>
      <w:color w:val="000000"/>
      <w:sz w:val="52"/>
      <w:szCs w:val="40"/>
    </w:rPr>
  </w:style>
  <w:style w:type="paragraph" w:customStyle="1" w:styleId="Note-ASDEFCON">
    <w:name w:val="Note - ASDEFCON"/>
    <w:basedOn w:val="ASDEFCONNormal"/>
    <w:rsid w:val="003B6005"/>
    <w:rPr>
      <w:b/>
      <w:i/>
    </w:rPr>
  </w:style>
  <w:style w:type="paragraph" w:customStyle="1" w:styleId="COTCOCLV2NONUM-ASDEFCON">
    <w:name w:val="COT/COC LV2 NONUM - ASDEFCON"/>
    <w:basedOn w:val="COTCOCLV2-ASDEFCON"/>
    <w:next w:val="COTCOCLV3-ASDEFCON"/>
    <w:rsid w:val="003B6005"/>
    <w:pPr>
      <w:keepNext w:val="0"/>
      <w:numPr>
        <w:ilvl w:val="0"/>
        <w:numId w:val="0"/>
      </w:numPr>
      <w:ind w:firstLine="851"/>
    </w:pPr>
    <w:rPr>
      <w:bCs/>
      <w:szCs w:val="20"/>
    </w:rPr>
  </w:style>
  <w:style w:type="paragraph" w:customStyle="1" w:styleId="COTCOCLV1NONUM-ASDEFCON">
    <w:name w:val="COT/COC LV1 NONUM - ASDEFCON"/>
    <w:basedOn w:val="COTCOCLV1-ASDEFCON"/>
    <w:next w:val="COTCOCLV2-ASDEFCON"/>
    <w:rsid w:val="003B6005"/>
    <w:pPr>
      <w:keepNext w:val="0"/>
      <w:numPr>
        <w:numId w:val="0"/>
      </w:numPr>
      <w:ind w:left="851"/>
    </w:pPr>
    <w:rPr>
      <w:bCs/>
      <w:szCs w:val="20"/>
    </w:rPr>
  </w:style>
  <w:style w:type="paragraph" w:customStyle="1" w:styleId="COTCOCLV3NONUM-ASDEFCON">
    <w:name w:val="COT/COC LV3 NONUM - ASDEFCON"/>
    <w:basedOn w:val="COTCOCLV3-ASDEFCON"/>
    <w:next w:val="COTCOCLV3-ASDEFCON"/>
    <w:rsid w:val="003B6005"/>
    <w:pPr>
      <w:numPr>
        <w:ilvl w:val="0"/>
        <w:numId w:val="0"/>
      </w:numPr>
      <w:ind w:left="851"/>
    </w:pPr>
    <w:rPr>
      <w:szCs w:val="20"/>
    </w:rPr>
  </w:style>
  <w:style w:type="paragraph" w:customStyle="1" w:styleId="COTCOCLV4NONUM-ASDEFCON">
    <w:name w:val="COT/COC LV4 NONUM - ASDEFCON"/>
    <w:basedOn w:val="COTCOCLV4-ASDEFCON"/>
    <w:next w:val="COTCOCLV4-ASDEFCON"/>
    <w:rsid w:val="003B6005"/>
    <w:pPr>
      <w:numPr>
        <w:ilvl w:val="0"/>
        <w:numId w:val="0"/>
      </w:numPr>
      <w:ind w:left="1418"/>
    </w:pPr>
    <w:rPr>
      <w:szCs w:val="20"/>
    </w:rPr>
  </w:style>
  <w:style w:type="paragraph" w:customStyle="1" w:styleId="COTCOCLV5NONUM-ASDEFCON">
    <w:name w:val="COT/COC LV5 NONUM - ASDEFCON"/>
    <w:basedOn w:val="COTCOCLV5-ASDEFCON"/>
    <w:next w:val="COTCOCLV5-ASDEFCON"/>
    <w:rsid w:val="003B6005"/>
    <w:pPr>
      <w:numPr>
        <w:ilvl w:val="0"/>
        <w:numId w:val="0"/>
      </w:numPr>
      <w:ind w:left="1985"/>
    </w:pPr>
    <w:rPr>
      <w:szCs w:val="20"/>
    </w:rPr>
  </w:style>
  <w:style w:type="paragraph" w:customStyle="1" w:styleId="COTCOCLV6NONUM-ASDEFCON">
    <w:name w:val="COT/COC LV6 NONUM - ASDEFCON"/>
    <w:basedOn w:val="COTCOCLV6-ASDEFCON"/>
    <w:next w:val="COTCOCLV6-ASDEFCON"/>
    <w:rsid w:val="003B6005"/>
    <w:pPr>
      <w:numPr>
        <w:ilvl w:val="0"/>
        <w:numId w:val="0"/>
      </w:numPr>
      <w:ind w:left="2552"/>
    </w:pPr>
    <w:rPr>
      <w:szCs w:val="20"/>
    </w:rPr>
  </w:style>
  <w:style w:type="paragraph" w:customStyle="1" w:styleId="ATTANNLV1NONUM-ASDEFCON">
    <w:name w:val="ATT/ANN LV1 NONUM - ASDEFCON"/>
    <w:basedOn w:val="ATTANNLV1-ASDEFCON"/>
    <w:next w:val="ATTANNLV2-ASDEFCON"/>
    <w:rsid w:val="003B6005"/>
    <w:pPr>
      <w:numPr>
        <w:numId w:val="0"/>
      </w:numPr>
      <w:ind w:left="851"/>
    </w:pPr>
    <w:rPr>
      <w:bCs/>
      <w:szCs w:val="20"/>
    </w:rPr>
  </w:style>
  <w:style w:type="paragraph" w:customStyle="1" w:styleId="ATTANNLV2NONUM-ASDEFCON">
    <w:name w:val="ATT/ANN LV2 NONUM - ASDEFCON"/>
    <w:basedOn w:val="ATTANNLV2-ASDEFCON"/>
    <w:next w:val="ATTANNLV2-ASDEFCON"/>
    <w:rsid w:val="003B6005"/>
    <w:pPr>
      <w:numPr>
        <w:ilvl w:val="0"/>
        <w:numId w:val="0"/>
      </w:numPr>
      <w:ind w:left="851"/>
    </w:pPr>
    <w:rPr>
      <w:szCs w:val="20"/>
    </w:rPr>
  </w:style>
  <w:style w:type="paragraph" w:customStyle="1" w:styleId="ATTANNLV3NONUM-ASDEFCON">
    <w:name w:val="ATT/ANN LV3 NONUM - ASDEFCON"/>
    <w:basedOn w:val="ATTANNLV3-ASDEFCON"/>
    <w:next w:val="ATTANNLV3-ASDEFCON"/>
    <w:rsid w:val="003B6005"/>
    <w:pPr>
      <w:numPr>
        <w:ilvl w:val="0"/>
        <w:numId w:val="0"/>
      </w:numPr>
      <w:ind w:left="1418"/>
    </w:pPr>
    <w:rPr>
      <w:szCs w:val="20"/>
    </w:rPr>
  </w:style>
  <w:style w:type="paragraph" w:customStyle="1" w:styleId="ATTANNLV4NONUM-ASDEFCON">
    <w:name w:val="ATT/ANN LV4 NONUM - ASDEFCON"/>
    <w:basedOn w:val="ATTANNLV4-ASDEFCON"/>
    <w:next w:val="ATTANNLV4-ASDEFCON"/>
    <w:rsid w:val="003B6005"/>
    <w:pPr>
      <w:numPr>
        <w:ilvl w:val="0"/>
        <w:numId w:val="0"/>
      </w:numPr>
      <w:ind w:left="1985"/>
    </w:pPr>
    <w:rPr>
      <w:szCs w:val="20"/>
    </w:rPr>
  </w:style>
  <w:style w:type="paragraph" w:customStyle="1" w:styleId="NoteToDraftersBullets-ASDEFCON">
    <w:name w:val="Note To Drafters Bullets - ASDEFCON"/>
    <w:basedOn w:val="NoteToDrafters-ASDEFCON"/>
    <w:rsid w:val="003B6005"/>
    <w:pPr>
      <w:numPr>
        <w:numId w:val="6"/>
      </w:numPr>
    </w:pPr>
    <w:rPr>
      <w:bCs/>
      <w:iCs/>
      <w:szCs w:val="20"/>
    </w:rPr>
  </w:style>
  <w:style w:type="paragraph" w:customStyle="1" w:styleId="NoteToDraftersList-ASDEFCON">
    <w:name w:val="Note To Drafters List - ASDEFCON"/>
    <w:basedOn w:val="NoteToDrafters-ASDEFCON"/>
    <w:rsid w:val="003B6005"/>
    <w:pPr>
      <w:numPr>
        <w:numId w:val="7"/>
      </w:numPr>
    </w:pPr>
    <w:rPr>
      <w:bCs/>
      <w:iCs/>
      <w:szCs w:val="20"/>
    </w:rPr>
  </w:style>
  <w:style w:type="paragraph" w:customStyle="1" w:styleId="NoteToTenderersBullets-ASDEFCON">
    <w:name w:val="Note To Tenderers Bullets - ASDEFCON"/>
    <w:basedOn w:val="NoteToTenderers-ASDEFCON"/>
    <w:rsid w:val="003B6005"/>
    <w:pPr>
      <w:numPr>
        <w:numId w:val="8"/>
      </w:numPr>
    </w:pPr>
    <w:rPr>
      <w:bCs/>
      <w:iCs/>
      <w:szCs w:val="20"/>
    </w:rPr>
  </w:style>
  <w:style w:type="paragraph" w:customStyle="1" w:styleId="NoteToTenderersList-ASDEFCON">
    <w:name w:val="Note To Tenderers List - ASDEFCON"/>
    <w:basedOn w:val="NoteToTenderers-ASDEFCON"/>
    <w:rsid w:val="003B6005"/>
    <w:pPr>
      <w:numPr>
        <w:numId w:val="9"/>
      </w:numPr>
    </w:pPr>
    <w:rPr>
      <w:bCs/>
      <w:iCs/>
      <w:szCs w:val="20"/>
    </w:rPr>
  </w:style>
  <w:style w:type="paragraph" w:customStyle="1" w:styleId="SOWHL1-ASDEFCON">
    <w:name w:val="SOW HL1 - ASDEFCON"/>
    <w:basedOn w:val="ASDEFCONNormal"/>
    <w:next w:val="SOWHL2-ASDEFCON"/>
    <w:qFormat/>
    <w:rsid w:val="003B6005"/>
    <w:pPr>
      <w:keepNext/>
      <w:numPr>
        <w:numId w:val="10"/>
      </w:numPr>
      <w:spacing w:before="120" w:after="240"/>
    </w:pPr>
    <w:rPr>
      <w:rFonts w:ascii="Arial Bold" w:eastAsia="Calibri" w:hAnsi="Arial Bold"/>
      <w:b/>
      <w:caps/>
      <w:szCs w:val="20"/>
      <w:lang w:eastAsia="en-US"/>
    </w:rPr>
  </w:style>
  <w:style w:type="paragraph" w:customStyle="1" w:styleId="SOWHL2-ASDEFCON">
    <w:name w:val="SOW HL2 - ASDEFCON"/>
    <w:basedOn w:val="ASDEFCONNormal"/>
    <w:qFormat/>
    <w:rsid w:val="003B6005"/>
    <w:pPr>
      <w:keepNext/>
      <w:numPr>
        <w:ilvl w:val="1"/>
        <w:numId w:val="10"/>
      </w:numPr>
      <w:pBdr>
        <w:bottom w:val="single" w:sz="4" w:space="1" w:color="auto"/>
      </w:pBdr>
    </w:pPr>
    <w:rPr>
      <w:rFonts w:eastAsia="Calibri"/>
      <w:b/>
      <w:szCs w:val="22"/>
      <w:lang w:eastAsia="en-US"/>
    </w:rPr>
  </w:style>
  <w:style w:type="paragraph" w:customStyle="1" w:styleId="SOWHL3-ASDEFCON">
    <w:name w:val="SOW HL3 - ASDEFCON"/>
    <w:basedOn w:val="ASDEFCONNormal"/>
    <w:qFormat/>
    <w:rsid w:val="003B6005"/>
    <w:pPr>
      <w:keepNext/>
      <w:numPr>
        <w:ilvl w:val="2"/>
        <w:numId w:val="10"/>
      </w:numPr>
    </w:pPr>
    <w:rPr>
      <w:rFonts w:eastAsia="Calibri"/>
      <w:b/>
      <w:szCs w:val="22"/>
      <w:lang w:eastAsia="en-US"/>
    </w:rPr>
  </w:style>
  <w:style w:type="paragraph" w:customStyle="1" w:styleId="SOWHL4-ASDEFCON">
    <w:name w:val="SOW HL4 - ASDEFCON"/>
    <w:basedOn w:val="ASDEFCONNormal"/>
    <w:qFormat/>
    <w:rsid w:val="003B6005"/>
    <w:pPr>
      <w:keepNext/>
      <w:numPr>
        <w:ilvl w:val="3"/>
        <w:numId w:val="10"/>
      </w:numPr>
    </w:pPr>
    <w:rPr>
      <w:rFonts w:eastAsia="Calibri"/>
      <w:b/>
      <w:szCs w:val="22"/>
      <w:lang w:eastAsia="en-US"/>
    </w:rPr>
  </w:style>
  <w:style w:type="paragraph" w:customStyle="1" w:styleId="SOWHL5-ASDEFCON">
    <w:name w:val="SOW HL5 - ASDEFCON"/>
    <w:basedOn w:val="ASDEFCONNormal"/>
    <w:qFormat/>
    <w:rsid w:val="003B6005"/>
    <w:pPr>
      <w:keepNext/>
      <w:numPr>
        <w:ilvl w:val="4"/>
        <w:numId w:val="10"/>
      </w:numPr>
    </w:pPr>
    <w:rPr>
      <w:rFonts w:eastAsia="Calibri"/>
      <w:b/>
      <w:szCs w:val="22"/>
      <w:lang w:eastAsia="en-US"/>
    </w:rPr>
  </w:style>
  <w:style w:type="paragraph" w:customStyle="1" w:styleId="SOWSubL1-ASDEFCON">
    <w:name w:val="SOW SubL1 - ASDEFCON"/>
    <w:basedOn w:val="ASDEFCONNormal"/>
    <w:qFormat/>
    <w:rsid w:val="003B6005"/>
    <w:pPr>
      <w:numPr>
        <w:ilvl w:val="5"/>
        <w:numId w:val="10"/>
      </w:numPr>
    </w:pPr>
    <w:rPr>
      <w:rFonts w:eastAsia="Calibri"/>
      <w:szCs w:val="22"/>
      <w:lang w:eastAsia="en-US"/>
    </w:rPr>
  </w:style>
  <w:style w:type="paragraph" w:customStyle="1" w:styleId="SOWHL1NONUM-ASDEFCON">
    <w:name w:val="SOW HL1 NONUM - ASDEFCON"/>
    <w:basedOn w:val="SOWHL1-ASDEFCON"/>
    <w:next w:val="SOWHL2-ASDEFCON"/>
    <w:rsid w:val="003B6005"/>
    <w:pPr>
      <w:keepNext w:val="0"/>
      <w:numPr>
        <w:numId w:val="0"/>
      </w:numPr>
      <w:ind w:left="1134"/>
    </w:pPr>
    <w:rPr>
      <w:rFonts w:eastAsia="Times New Roman"/>
      <w:bCs/>
    </w:rPr>
  </w:style>
  <w:style w:type="paragraph" w:customStyle="1" w:styleId="SOWTL2NONUM-ASDEFCON">
    <w:name w:val="SOW TL2 NONUM - ASDEFCON"/>
    <w:basedOn w:val="SOWTL2-ASDEFCON"/>
    <w:next w:val="SOWTL2-ASDEFCON"/>
    <w:rsid w:val="003B6005"/>
    <w:pPr>
      <w:numPr>
        <w:ilvl w:val="0"/>
        <w:numId w:val="0"/>
      </w:numPr>
      <w:ind w:left="1134"/>
    </w:pPr>
    <w:rPr>
      <w:rFonts w:eastAsia="Times New Roman"/>
      <w:bCs/>
      <w:szCs w:val="20"/>
    </w:rPr>
  </w:style>
  <w:style w:type="paragraph" w:customStyle="1" w:styleId="SOWTL2-ASDEFCON">
    <w:name w:val="SOW TL2 - ASDEFCON"/>
    <w:basedOn w:val="SOWHL2-ASDEFCON"/>
    <w:rsid w:val="003B6005"/>
    <w:pPr>
      <w:keepNext w:val="0"/>
      <w:pBdr>
        <w:bottom w:val="none" w:sz="0" w:space="0" w:color="auto"/>
      </w:pBdr>
    </w:pPr>
    <w:rPr>
      <w:b w:val="0"/>
    </w:rPr>
  </w:style>
  <w:style w:type="paragraph" w:customStyle="1" w:styleId="SOWTL3NONUM-ASDEFCON">
    <w:name w:val="SOW TL3 NONUM - ASDEFCON"/>
    <w:basedOn w:val="SOWTL3-ASDEFCON"/>
    <w:next w:val="SOWTL3-ASDEFCON"/>
    <w:rsid w:val="003B6005"/>
    <w:pPr>
      <w:numPr>
        <w:ilvl w:val="0"/>
        <w:numId w:val="0"/>
      </w:numPr>
      <w:ind w:left="1134"/>
    </w:pPr>
    <w:rPr>
      <w:rFonts w:eastAsia="Times New Roman"/>
      <w:bCs/>
      <w:szCs w:val="20"/>
    </w:rPr>
  </w:style>
  <w:style w:type="paragraph" w:customStyle="1" w:styleId="SOWTL3-ASDEFCON">
    <w:name w:val="SOW TL3 - ASDEFCON"/>
    <w:basedOn w:val="SOWHL3-ASDEFCON"/>
    <w:rsid w:val="003B6005"/>
    <w:pPr>
      <w:keepNext w:val="0"/>
    </w:pPr>
    <w:rPr>
      <w:b w:val="0"/>
    </w:rPr>
  </w:style>
  <w:style w:type="paragraph" w:customStyle="1" w:styleId="SOWTL4NONUM-ASDEFCON">
    <w:name w:val="SOW TL4 NONUM - ASDEFCON"/>
    <w:basedOn w:val="SOWTL4-ASDEFCON"/>
    <w:next w:val="SOWTL4-ASDEFCON"/>
    <w:rsid w:val="003B6005"/>
    <w:pPr>
      <w:numPr>
        <w:ilvl w:val="0"/>
        <w:numId w:val="0"/>
      </w:numPr>
      <w:ind w:left="1134"/>
    </w:pPr>
    <w:rPr>
      <w:rFonts w:eastAsia="Times New Roman"/>
      <w:bCs/>
      <w:szCs w:val="20"/>
    </w:rPr>
  </w:style>
  <w:style w:type="paragraph" w:customStyle="1" w:styleId="SOWTL4-ASDEFCON">
    <w:name w:val="SOW TL4 - ASDEFCON"/>
    <w:basedOn w:val="SOWHL4-ASDEFCON"/>
    <w:rsid w:val="003B6005"/>
    <w:pPr>
      <w:keepNext w:val="0"/>
    </w:pPr>
    <w:rPr>
      <w:b w:val="0"/>
    </w:rPr>
  </w:style>
  <w:style w:type="paragraph" w:customStyle="1" w:styleId="SOWTL5NONUM-ASDEFCON">
    <w:name w:val="SOW TL5 NONUM - ASDEFCON"/>
    <w:basedOn w:val="SOWHL5-ASDEFCON"/>
    <w:next w:val="SOWTL5-ASDEFCON"/>
    <w:rsid w:val="003B6005"/>
    <w:pPr>
      <w:keepNext w:val="0"/>
      <w:numPr>
        <w:ilvl w:val="0"/>
        <w:numId w:val="0"/>
      </w:numPr>
      <w:ind w:left="1134"/>
    </w:pPr>
    <w:rPr>
      <w:b w:val="0"/>
    </w:rPr>
  </w:style>
  <w:style w:type="paragraph" w:customStyle="1" w:styleId="SOWTL5-ASDEFCON">
    <w:name w:val="SOW TL5 - ASDEFCON"/>
    <w:basedOn w:val="SOWHL5-ASDEFCON"/>
    <w:rsid w:val="003B6005"/>
    <w:pPr>
      <w:keepNext w:val="0"/>
    </w:pPr>
    <w:rPr>
      <w:b w:val="0"/>
    </w:rPr>
  </w:style>
  <w:style w:type="paragraph" w:customStyle="1" w:styleId="SOWSubL2-ASDEFCON">
    <w:name w:val="SOW SubL2 - ASDEFCON"/>
    <w:basedOn w:val="ASDEFCONNormal"/>
    <w:qFormat/>
    <w:rsid w:val="003B6005"/>
    <w:pPr>
      <w:numPr>
        <w:ilvl w:val="6"/>
        <w:numId w:val="10"/>
      </w:numPr>
    </w:pPr>
    <w:rPr>
      <w:rFonts w:eastAsia="Calibri"/>
      <w:szCs w:val="22"/>
      <w:lang w:eastAsia="en-US"/>
    </w:rPr>
  </w:style>
  <w:style w:type="paragraph" w:customStyle="1" w:styleId="SOWSubL1NONUM-ASDEFCON">
    <w:name w:val="SOW SubL1 NONUM - ASDEFCON"/>
    <w:basedOn w:val="SOWSubL1-ASDEFCON"/>
    <w:next w:val="SOWSubL1-ASDEFCON"/>
    <w:qFormat/>
    <w:rsid w:val="003B6005"/>
    <w:pPr>
      <w:numPr>
        <w:numId w:val="0"/>
      </w:numPr>
      <w:ind w:left="1701"/>
    </w:pPr>
  </w:style>
  <w:style w:type="paragraph" w:customStyle="1" w:styleId="SOWSubL2NONUM-ASDEFCON">
    <w:name w:val="SOW SubL2 NONUM - ASDEFCON"/>
    <w:basedOn w:val="SOWSubL2-ASDEFCON"/>
    <w:next w:val="SOWSubL2-ASDEFCON"/>
    <w:qFormat/>
    <w:rsid w:val="003B6005"/>
    <w:pPr>
      <w:numPr>
        <w:ilvl w:val="0"/>
        <w:numId w:val="0"/>
      </w:numPr>
      <w:ind w:left="2268"/>
    </w:pPr>
  </w:style>
  <w:style w:type="paragraph" w:styleId="FootnoteText">
    <w:name w:val="footnote text"/>
    <w:basedOn w:val="Normal"/>
    <w:semiHidden/>
    <w:rsid w:val="003B6005"/>
    <w:rPr>
      <w:szCs w:val="20"/>
    </w:rPr>
  </w:style>
  <w:style w:type="paragraph" w:customStyle="1" w:styleId="ASDEFCONTextBlock">
    <w:name w:val="ASDEFCON TextBlock"/>
    <w:basedOn w:val="ASDEFCONNormal"/>
    <w:qFormat/>
    <w:rsid w:val="003B6005"/>
    <w:pPr>
      <w:spacing w:before="60" w:after="60"/>
    </w:pPr>
    <w:rPr>
      <w:rFonts w:eastAsia="Calibri" w:cs="Arial"/>
      <w:b/>
      <w:sz w:val="24"/>
      <w:szCs w:val="24"/>
      <w:lang w:eastAsia="en-US"/>
    </w:rPr>
  </w:style>
  <w:style w:type="paragraph" w:customStyle="1" w:styleId="ATTANNListTableofContents-ASDEFCON">
    <w:name w:val="ATT/ANN List (Table of Contents) - ASDEFCON"/>
    <w:basedOn w:val="ASDEFCONNormal"/>
    <w:rsid w:val="003B6005"/>
    <w:pPr>
      <w:numPr>
        <w:numId w:val="13"/>
      </w:numPr>
      <w:tabs>
        <w:tab w:val="clear" w:pos="397"/>
        <w:tab w:val="left" w:pos="567"/>
        <w:tab w:val="right" w:leader="dot" w:pos="9072"/>
      </w:tabs>
      <w:ind w:left="567" w:hanging="567"/>
    </w:pPr>
  </w:style>
  <w:style w:type="paragraph" w:customStyle="1" w:styleId="ATTANNTitleListTableofContents-ASDEFCON">
    <w:name w:val="ATT/ANN Title List (Table of Contents) - ASDEFCON"/>
    <w:basedOn w:val="ASDEFCONNormal"/>
    <w:rsid w:val="003B6005"/>
    <w:pPr>
      <w:keepNext/>
      <w:spacing w:before="240"/>
    </w:pPr>
    <w:rPr>
      <w:rFonts w:ascii="Arial Bold" w:hAnsi="Arial Bold"/>
      <w:b/>
      <w:bCs/>
      <w:caps/>
      <w:szCs w:val="20"/>
    </w:rPr>
  </w:style>
  <w:style w:type="paragraph" w:customStyle="1" w:styleId="Table8ptHeading-ASDEFCON">
    <w:name w:val="Table 8pt Heading - ASDEFCON"/>
    <w:basedOn w:val="ASDEFCONNormal"/>
    <w:rsid w:val="003B6005"/>
    <w:pPr>
      <w:spacing w:before="60" w:after="60"/>
      <w:jc w:val="center"/>
    </w:pPr>
    <w:rPr>
      <w:rFonts w:eastAsia="Calibri"/>
      <w:b/>
      <w:sz w:val="16"/>
      <w:szCs w:val="16"/>
      <w:lang w:eastAsia="en-US"/>
    </w:rPr>
  </w:style>
  <w:style w:type="paragraph" w:customStyle="1" w:styleId="Table8ptText-ASDEFCON">
    <w:name w:val="Table 8pt Text - ASDEFCON"/>
    <w:basedOn w:val="ASDEFCONNormal"/>
    <w:rsid w:val="003B6005"/>
    <w:pPr>
      <w:numPr>
        <w:numId w:val="23"/>
      </w:numPr>
      <w:spacing w:before="60" w:after="60"/>
    </w:pPr>
    <w:rPr>
      <w:rFonts w:eastAsia="Calibri"/>
      <w:sz w:val="16"/>
      <w:szCs w:val="16"/>
      <w:lang w:eastAsia="en-US"/>
    </w:rPr>
  </w:style>
  <w:style w:type="paragraph" w:customStyle="1" w:styleId="Table10ptText-ASDEFCON">
    <w:name w:val="Table 10pt Text - ASDEFCON"/>
    <w:basedOn w:val="ASDEFCONNormal"/>
    <w:link w:val="Table10ptText-ASDEFCONCharChar"/>
    <w:rsid w:val="003B6005"/>
    <w:pPr>
      <w:numPr>
        <w:numId w:val="24"/>
      </w:numPr>
      <w:spacing w:before="60" w:after="60"/>
      <w:jc w:val="left"/>
    </w:pPr>
    <w:rPr>
      <w:rFonts w:eastAsia="Calibri"/>
      <w:szCs w:val="22"/>
      <w:lang w:eastAsia="en-US"/>
    </w:rPr>
  </w:style>
  <w:style w:type="character" w:customStyle="1" w:styleId="Table10ptText-ASDEFCONCharChar">
    <w:name w:val="Table 10pt Text - ASDEFCON Char Char"/>
    <w:link w:val="Table10ptText-ASDEFCON"/>
    <w:rsid w:val="003B6005"/>
    <w:rPr>
      <w:rFonts w:ascii="Arial" w:eastAsia="Calibri" w:hAnsi="Arial"/>
      <w:color w:val="000000"/>
      <w:szCs w:val="22"/>
      <w:lang w:eastAsia="en-US"/>
    </w:rPr>
  </w:style>
  <w:style w:type="paragraph" w:customStyle="1" w:styleId="Table8ptSub1-ASDEFCON">
    <w:name w:val="Table 8pt Sub1 - ASDEFCON"/>
    <w:basedOn w:val="Table8ptText-ASDEFCON"/>
    <w:rsid w:val="003B6005"/>
    <w:pPr>
      <w:numPr>
        <w:ilvl w:val="1"/>
      </w:numPr>
    </w:pPr>
  </w:style>
  <w:style w:type="paragraph" w:customStyle="1" w:styleId="Table8ptSub2-ASDEFCON">
    <w:name w:val="Table 8pt Sub2 - ASDEFCON"/>
    <w:basedOn w:val="Table8ptText-ASDEFCON"/>
    <w:rsid w:val="003B6005"/>
    <w:pPr>
      <w:numPr>
        <w:ilvl w:val="2"/>
      </w:numPr>
    </w:pPr>
  </w:style>
  <w:style w:type="paragraph" w:customStyle="1" w:styleId="Table10ptHeading-ASDEFCON">
    <w:name w:val="Table 10pt Heading - ASDEFCON"/>
    <w:basedOn w:val="ASDEFCONNormal"/>
    <w:rsid w:val="003B6005"/>
    <w:pPr>
      <w:keepNext/>
      <w:spacing w:before="60" w:after="60"/>
      <w:jc w:val="center"/>
    </w:pPr>
    <w:rPr>
      <w:b/>
    </w:rPr>
  </w:style>
  <w:style w:type="paragraph" w:customStyle="1" w:styleId="Table8ptBP1-ASDEFCON">
    <w:name w:val="Table 8pt BP1 - ASDEFCON"/>
    <w:basedOn w:val="Table8ptText-ASDEFCON"/>
    <w:rsid w:val="003B6005"/>
    <w:pPr>
      <w:numPr>
        <w:numId w:val="14"/>
      </w:numPr>
      <w:tabs>
        <w:tab w:val="clear" w:pos="284"/>
      </w:tabs>
    </w:pPr>
  </w:style>
  <w:style w:type="paragraph" w:customStyle="1" w:styleId="Table8ptBP2-ASDEFCON">
    <w:name w:val="Table 8pt BP2 - ASDEFCON"/>
    <w:basedOn w:val="Table8ptText-ASDEFCON"/>
    <w:rsid w:val="003B6005"/>
    <w:pPr>
      <w:numPr>
        <w:ilvl w:val="1"/>
        <w:numId w:val="14"/>
      </w:numPr>
      <w:tabs>
        <w:tab w:val="clear" w:pos="284"/>
      </w:tabs>
    </w:pPr>
    <w:rPr>
      <w:iCs/>
    </w:rPr>
  </w:style>
  <w:style w:type="paragraph" w:customStyle="1" w:styleId="ASDEFCONBulletsLV1">
    <w:name w:val="ASDEFCON Bullets LV1"/>
    <w:basedOn w:val="ASDEFCONNormal"/>
    <w:rsid w:val="003B6005"/>
    <w:pPr>
      <w:numPr>
        <w:numId w:val="17"/>
      </w:numPr>
    </w:pPr>
    <w:rPr>
      <w:rFonts w:eastAsia="Calibri"/>
      <w:szCs w:val="22"/>
      <w:lang w:eastAsia="en-US"/>
    </w:rPr>
  </w:style>
  <w:style w:type="paragraph" w:customStyle="1" w:styleId="Table10ptSub1-ASDEFCON">
    <w:name w:val="Table 10pt Sub1 - ASDEFCON"/>
    <w:basedOn w:val="Table10ptText-ASDEFCON"/>
    <w:rsid w:val="003B6005"/>
    <w:pPr>
      <w:numPr>
        <w:ilvl w:val="1"/>
      </w:numPr>
      <w:jc w:val="both"/>
    </w:pPr>
  </w:style>
  <w:style w:type="paragraph" w:customStyle="1" w:styleId="Table10ptSub2-ASDEFCON">
    <w:name w:val="Table 10pt Sub2 - ASDEFCON"/>
    <w:basedOn w:val="Table10ptText-ASDEFCON"/>
    <w:rsid w:val="003B6005"/>
    <w:pPr>
      <w:numPr>
        <w:ilvl w:val="2"/>
      </w:numPr>
      <w:jc w:val="both"/>
    </w:pPr>
  </w:style>
  <w:style w:type="paragraph" w:customStyle="1" w:styleId="ASDEFCONBulletsLV2">
    <w:name w:val="ASDEFCON Bullets LV2"/>
    <w:basedOn w:val="ASDEFCONNormal"/>
    <w:rsid w:val="003B6005"/>
    <w:pPr>
      <w:numPr>
        <w:numId w:val="15"/>
      </w:numPr>
    </w:pPr>
  </w:style>
  <w:style w:type="paragraph" w:customStyle="1" w:styleId="Table10ptBP1-ASDEFCON">
    <w:name w:val="Table 10pt BP1 - ASDEFCON"/>
    <w:basedOn w:val="ASDEFCONNormal"/>
    <w:rsid w:val="003B6005"/>
    <w:pPr>
      <w:numPr>
        <w:numId w:val="21"/>
      </w:numPr>
      <w:spacing w:before="60" w:after="60"/>
    </w:pPr>
  </w:style>
  <w:style w:type="paragraph" w:customStyle="1" w:styleId="Table10ptBP2-ASDEFCON">
    <w:name w:val="Table 10pt BP2 - ASDEFCON"/>
    <w:basedOn w:val="ASDEFCONNormal"/>
    <w:link w:val="Table10ptBP2-ASDEFCONCharChar"/>
    <w:rsid w:val="003B6005"/>
    <w:pPr>
      <w:numPr>
        <w:ilvl w:val="1"/>
        <w:numId w:val="21"/>
      </w:numPr>
      <w:spacing w:before="60" w:after="60"/>
    </w:pPr>
  </w:style>
  <w:style w:type="character" w:customStyle="1" w:styleId="Table10ptBP2-ASDEFCONCharChar">
    <w:name w:val="Table 10pt BP2 - ASDEFCON Char Char"/>
    <w:link w:val="Table10ptBP2-ASDEFCON"/>
    <w:rsid w:val="003B6005"/>
    <w:rPr>
      <w:rFonts w:ascii="Arial" w:hAnsi="Arial"/>
      <w:color w:val="000000"/>
      <w:szCs w:val="40"/>
    </w:rPr>
  </w:style>
  <w:style w:type="paragraph" w:customStyle="1" w:styleId="GuideMarginHead-ASDEFCON">
    <w:name w:val="Guide Margin Head - ASDEFCON"/>
    <w:basedOn w:val="ASDEFCONNormal"/>
    <w:rsid w:val="003B6005"/>
    <w:pPr>
      <w:tabs>
        <w:tab w:val="left" w:pos="1701"/>
      </w:tabs>
      <w:ind w:left="1701" w:hanging="1701"/>
    </w:pPr>
    <w:rPr>
      <w:rFonts w:eastAsia="Calibri"/>
      <w:szCs w:val="22"/>
      <w:lang w:eastAsia="en-US"/>
    </w:rPr>
  </w:style>
  <w:style w:type="paragraph" w:customStyle="1" w:styleId="GuideText-ASDEFCON">
    <w:name w:val="Guide Text - ASDEFCON"/>
    <w:basedOn w:val="ASDEFCONNormal"/>
    <w:rsid w:val="003B6005"/>
    <w:pPr>
      <w:ind w:left="1680"/>
    </w:pPr>
    <w:rPr>
      <w:lang w:eastAsia="en-US"/>
    </w:rPr>
  </w:style>
  <w:style w:type="paragraph" w:customStyle="1" w:styleId="GuideSublistLv1-ASDEFCON">
    <w:name w:val="Guide Sublist Lv1 - ASDEFCON"/>
    <w:basedOn w:val="ASDEFCONNormal"/>
    <w:qFormat/>
    <w:rsid w:val="003B6005"/>
    <w:pPr>
      <w:numPr>
        <w:numId w:val="25"/>
      </w:numPr>
    </w:pPr>
    <w:rPr>
      <w:rFonts w:eastAsia="Calibri"/>
      <w:szCs w:val="22"/>
      <w:lang w:eastAsia="en-US"/>
    </w:rPr>
  </w:style>
  <w:style w:type="paragraph" w:customStyle="1" w:styleId="GuideBullets-ASDEFCON">
    <w:name w:val="Guide Bullets - ASDEFCON"/>
    <w:basedOn w:val="ASDEFCONNormal"/>
    <w:rsid w:val="003B6005"/>
    <w:pPr>
      <w:numPr>
        <w:ilvl w:val="6"/>
        <w:numId w:val="16"/>
      </w:numPr>
      <w:tabs>
        <w:tab w:val="clear" w:pos="3402"/>
        <w:tab w:val="num" w:pos="2268"/>
      </w:tabs>
      <w:ind w:left="2268"/>
    </w:pPr>
    <w:rPr>
      <w:rFonts w:eastAsia="Calibri"/>
      <w:szCs w:val="22"/>
      <w:lang w:eastAsia="en-US"/>
    </w:rPr>
  </w:style>
  <w:style w:type="paragraph" w:customStyle="1" w:styleId="GuideLV2Head-ASDEFCON">
    <w:name w:val="Guide LV2 Head - ASDEFCON"/>
    <w:basedOn w:val="ASDEFCONNormal"/>
    <w:next w:val="GuideText-ASDEFCON"/>
    <w:rsid w:val="003B6005"/>
    <w:pPr>
      <w:keepNext/>
      <w:pBdr>
        <w:bottom w:val="single" w:sz="4" w:space="1" w:color="auto"/>
      </w:pBdr>
    </w:pPr>
    <w:rPr>
      <w:rFonts w:eastAsia="Calibri"/>
      <w:b/>
      <w:szCs w:val="22"/>
      <w:lang w:eastAsia="en-US"/>
    </w:rPr>
  </w:style>
  <w:style w:type="paragraph" w:customStyle="1" w:styleId="GuideLV1Head-ASDEFCON">
    <w:name w:val="Guide LV1 Head - ASDEFCON"/>
    <w:basedOn w:val="ASDEFCONNormal"/>
    <w:next w:val="GuideLV2Head-ASDEFCON"/>
    <w:qFormat/>
    <w:rsid w:val="003B6005"/>
    <w:pPr>
      <w:keepNext/>
      <w:spacing w:before="240"/>
    </w:pPr>
    <w:rPr>
      <w:rFonts w:eastAsia="Calibri"/>
      <w:b/>
      <w:caps/>
      <w:szCs w:val="20"/>
      <w:lang w:eastAsia="en-US"/>
    </w:rPr>
  </w:style>
  <w:style w:type="paragraph" w:customStyle="1" w:styleId="ASDEFCONSublist">
    <w:name w:val="ASDEFCON Sublist"/>
    <w:basedOn w:val="ASDEFCONNormal"/>
    <w:rsid w:val="003B6005"/>
    <w:pPr>
      <w:numPr>
        <w:numId w:val="26"/>
      </w:numPr>
    </w:pPr>
    <w:rPr>
      <w:iCs/>
    </w:rPr>
  </w:style>
  <w:style w:type="paragraph" w:customStyle="1" w:styleId="ASDEFCONRecitals">
    <w:name w:val="ASDEFCON Recitals"/>
    <w:basedOn w:val="ASDEFCONNormal"/>
    <w:link w:val="ASDEFCONRecitalsCharChar"/>
    <w:rsid w:val="003B6005"/>
    <w:pPr>
      <w:numPr>
        <w:numId w:val="18"/>
      </w:numPr>
    </w:pPr>
  </w:style>
  <w:style w:type="character" w:customStyle="1" w:styleId="ASDEFCONRecitalsCharChar">
    <w:name w:val="ASDEFCON Recitals Char Char"/>
    <w:link w:val="ASDEFCONRecitals"/>
    <w:rsid w:val="003B6005"/>
    <w:rPr>
      <w:rFonts w:ascii="Arial" w:hAnsi="Arial"/>
      <w:color w:val="000000"/>
      <w:szCs w:val="40"/>
    </w:rPr>
  </w:style>
  <w:style w:type="paragraph" w:customStyle="1" w:styleId="NoteList-ASDEFCON">
    <w:name w:val="Note List - ASDEFCON"/>
    <w:basedOn w:val="ASDEFCONNormal"/>
    <w:rsid w:val="003B6005"/>
    <w:pPr>
      <w:numPr>
        <w:numId w:val="19"/>
      </w:numPr>
    </w:pPr>
    <w:rPr>
      <w:b/>
      <w:bCs/>
      <w:i/>
    </w:rPr>
  </w:style>
  <w:style w:type="paragraph" w:customStyle="1" w:styleId="NoteBullets-ASDEFCON">
    <w:name w:val="Note Bullets - ASDEFCON"/>
    <w:basedOn w:val="ASDEFCONNormal"/>
    <w:rsid w:val="003B6005"/>
    <w:pPr>
      <w:numPr>
        <w:numId w:val="20"/>
      </w:numPr>
    </w:pPr>
    <w:rPr>
      <w:b/>
      <w:i/>
    </w:rPr>
  </w:style>
  <w:style w:type="paragraph" w:styleId="Caption">
    <w:name w:val="caption"/>
    <w:basedOn w:val="Normal"/>
    <w:next w:val="Normal"/>
    <w:qFormat/>
    <w:rsid w:val="003B6005"/>
    <w:rPr>
      <w:b/>
      <w:bCs/>
      <w:szCs w:val="20"/>
    </w:rPr>
  </w:style>
  <w:style w:type="paragraph" w:customStyle="1" w:styleId="ASDEFCONOperativePartListLV1">
    <w:name w:val="ASDEFCON Operative Part List LV1"/>
    <w:basedOn w:val="ASDEFCONNormal"/>
    <w:rsid w:val="003B6005"/>
    <w:pPr>
      <w:numPr>
        <w:numId w:val="22"/>
      </w:numPr>
    </w:pPr>
    <w:rPr>
      <w:iCs/>
    </w:rPr>
  </w:style>
  <w:style w:type="paragraph" w:customStyle="1" w:styleId="ASDEFCONOperativePartListLV2">
    <w:name w:val="ASDEFCON Operative Part List LV2"/>
    <w:basedOn w:val="ASDEFCONOperativePartListLV1"/>
    <w:rsid w:val="003B6005"/>
    <w:pPr>
      <w:numPr>
        <w:ilvl w:val="1"/>
      </w:numPr>
    </w:pPr>
  </w:style>
  <w:style w:type="paragraph" w:customStyle="1" w:styleId="ASDEFCONOptionSpace">
    <w:name w:val="ASDEFCON Option Space"/>
    <w:basedOn w:val="ASDEFCONNormal"/>
    <w:rsid w:val="003B6005"/>
    <w:pPr>
      <w:spacing w:after="0"/>
    </w:pPr>
    <w:rPr>
      <w:bCs/>
      <w:color w:val="FFFFFF"/>
      <w:sz w:val="8"/>
    </w:rPr>
  </w:style>
  <w:style w:type="paragraph" w:customStyle="1" w:styleId="ATTANNReferencetoCOC">
    <w:name w:val="ATT/ANN Reference to COC"/>
    <w:basedOn w:val="ASDEFCONNormal"/>
    <w:rsid w:val="003B6005"/>
    <w:pPr>
      <w:keepNext/>
      <w:jc w:val="right"/>
    </w:pPr>
    <w:rPr>
      <w:i/>
      <w:iCs/>
      <w:szCs w:val="20"/>
    </w:rPr>
  </w:style>
  <w:style w:type="paragraph" w:customStyle="1" w:styleId="ASDEFCONHeaderFooterCenter">
    <w:name w:val="ASDEFCON Header/Footer Center"/>
    <w:basedOn w:val="ASDEFCONHeaderFooterLeft"/>
    <w:rsid w:val="003B6005"/>
    <w:pPr>
      <w:jc w:val="center"/>
    </w:pPr>
    <w:rPr>
      <w:szCs w:val="20"/>
    </w:rPr>
  </w:style>
  <w:style w:type="paragraph" w:customStyle="1" w:styleId="ASDEFCONHeaderFooterRight">
    <w:name w:val="ASDEFCON Header/Footer Right"/>
    <w:basedOn w:val="ASDEFCONHeaderFooterLeft"/>
    <w:rsid w:val="003B6005"/>
    <w:pPr>
      <w:jc w:val="right"/>
    </w:pPr>
    <w:rPr>
      <w:szCs w:val="20"/>
    </w:rPr>
  </w:style>
  <w:style w:type="paragraph" w:customStyle="1" w:styleId="ASDEFCONHeaderFooterClassification">
    <w:name w:val="ASDEFCON Header/Footer Classification"/>
    <w:basedOn w:val="ASDEFCONHeaderFooterLeft"/>
    <w:rsid w:val="003B6005"/>
    <w:pPr>
      <w:jc w:val="center"/>
    </w:pPr>
    <w:rPr>
      <w:rFonts w:ascii="Arial Bold" w:hAnsi="Arial Bold"/>
      <w:b/>
      <w:bCs/>
      <w:caps/>
      <w:sz w:val="20"/>
    </w:rPr>
  </w:style>
  <w:style w:type="paragraph" w:customStyle="1" w:styleId="GuideLV3Head-ASDEFCON">
    <w:name w:val="Guide LV3 Head - ASDEFCON"/>
    <w:basedOn w:val="ASDEFCONNormal"/>
    <w:rsid w:val="003B6005"/>
    <w:pPr>
      <w:keepNext/>
    </w:pPr>
    <w:rPr>
      <w:rFonts w:eastAsia="Calibri"/>
      <w:b/>
      <w:szCs w:val="22"/>
      <w:lang w:eastAsia="en-US"/>
    </w:rPr>
  </w:style>
  <w:style w:type="paragraph" w:customStyle="1" w:styleId="GuideSublistLv2-ASDEFCON">
    <w:name w:val="Guide Sublist Lv2 - ASDEFCON"/>
    <w:basedOn w:val="ASDEFCONNormal"/>
    <w:rsid w:val="003B6005"/>
    <w:pPr>
      <w:numPr>
        <w:ilvl w:val="1"/>
        <w:numId w:val="25"/>
      </w:numPr>
    </w:pPr>
  </w:style>
  <w:style w:type="paragraph" w:styleId="TOC1">
    <w:name w:val="toc 1"/>
    <w:next w:val="ASDEFCONNormal"/>
    <w:autoRedefine/>
    <w:uiPriority w:val="39"/>
    <w:rsid w:val="003B6005"/>
    <w:pPr>
      <w:tabs>
        <w:tab w:val="right" w:leader="dot" w:pos="9016"/>
      </w:tabs>
      <w:spacing w:before="120" w:after="60"/>
      <w:ind w:left="567" w:hanging="567"/>
    </w:pPr>
    <w:rPr>
      <w:rFonts w:ascii="Arial" w:hAnsi="Arial" w:cs="Arial"/>
      <w:b/>
      <w:noProof/>
      <w:szCs w:val="24"/>
    </w:rPr>
  </w:style>
  <w:style w:type="paragraph" w:styleId="TOC2">
    <w:name w:val="toc 2"/>
    <w:next w:val="ASDEFCONNormal"/>
    <w:autoRedefine/>
    <w:uiPriority w:val="39"/>
    <w:rsid w:val="003B6005"/>
    <w:pPr>
      <w:spacing w:after="60"/>
      <w:ind w:left="1417" w:hanging="850"/>
    </w:pPr>
    <w:rPr>
      <w:rFonts w:ascii="Arial" w:hAnsi="Arial" w:cs="Arial"/>
      <w:szCs w:val="24"/>
    </w:rPr>
  </w:style>
  <w:style w:type="paragraph" w:styleId="TOC3">
    <w:name w:val="toc 3"/>
    <w:basedOn w:val="Normal"/>
    <w:next w:val="Normal"/>
    <w:autoRedefine/>
    <w:rsid w:val="003B6005"/>
    <w:pPr>
      <w:spacing w:after="100"/>
      <w:ind w:left="400"/>
    </w:pPr>
  </w:style>
  <w:style w:type="paragraph" w:styleId="Header">
    <w:name w:val="header"/>
    <w:basedOn w:val="Normal"/>
    <w:rsid w:val="004C6475"/>
    <w:pPr>
      <w:tabs>
        <w:tab w:val="center" w:pos="4153"/>
        <w:tab w:val="right" w:pos="8306"/>
      </w:tabs>
    </w:pPr>
  </w:style>
  <w:style w:type="paragraph" w:styleId="Footer">
    <w:name w:val="footer"/>
    <w:basedOn w:val="Normal"/>
    <w:link w:val="FooterChar"/>
    <w:uiPriority w:val="99"/>
    <w:rsid w:val="004C6475"/>
    <w:pPr>
      <w:tabs>
        <w:tab w:val="center" w:pos="4153"/>
        <w:tab w:val="right" w:pos="8306"/>
      </w:tabs>
    </w:pPr>
  </w:style>
  <w:style w:type="character" w:styleId="FollowedHyperlink">
    <w:name w:val="FollowedHyperlink"/>
    <w:rsid w:val="00332B4B"/>
    <w:rPr>
      <w:color w:val="800080"/>
      <w:u w:val="single"/>
    </w:rPr>
  </w:style>
  <w:style w:type="character" w:styleId="PageNumber">
    <w:name w:val="page number"/>
    <w:basedOn w:val="DefaultParagraphFont"/>
    <w:rsid w:val="00B15F15"/>
  </w:style>
  <w:style w:type="table" w:styleId="TableGrid">
    <w:name w:val="Table Grid"/>
    <w:basedOn w:val="TableNormal"/>
    <w:rsid w:val="00D763E1"/>
    <w:pPr>
      <w:spacing w:after="200" w:line="276" w:lineRule="auto"/>
    </w:pPr>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semiHidden/>
    <w:rsid w:val="00D763E1"/>
    <w:pPr>
      <w:spacing w:line="276" w:lineRule="auto"/>
      <w:jc w:val="left"/>
    </w:pPr>
    <w:rPr>
      <w:rFonts w:eastAsia="Calibri"/>
      <w:sz w:val="16"/>
      <w:szCs w:val="16"/>
      <w:lang w:eastAsia="en-US"/>
    </w:rPr>
  </w:style>
  <w:style w:type="paragraph" w:styleId="NormalWeb">
    <w:name w:val="Normal (Web)"/>
    <w:basedOn w:val="Normal"/>
    <w:rsid w:val="00754843"/>
    <w:pPr>
      <w:spacing w:after="240" w:line="312" w:lineRule="atLeast"/>
      <w:jc w:val="left"/>
    </w:pPr>
    <w:rPr>
      <w:rFonts w:ascii="Times New Roman" w:hAnsi="Times New Roman"/>
      <w:color w:val="000000"/>
      <w:sz w:val="24"/>
    </w:rPr>
  </w:style>
  <w:style w:type="paragraph" w:styleId="Title">
    <w:name w:val="Title"/>
    <w:basedOn w:val="Normal"/>
    <w:link w:val="TitleChar"/>
    <w:qFormat/>
    <w:rsid w:val="00E14FB6"/>
    <w:pPr>
      <w:spacing w:after="240" w:line="276" w:lineRule="auto"/>
      <w:jc w:val="center"/>
    </w:pPr>
    <w:rPr>
      <w:rFonts w:eastAsia="Calibri"/>
      <w:b/>
      <w:sz w:val="28"/>
      <w:szCs w:val="22"/>
      <w:lang w:eastAsia="en-US"/>
    </w:rPr>
  </w:style>
  <w:style w:type="character" w:customStyle="1" w:styleId="TitleChar">
    <w:name w:val="Title Char"/>
    <w:link w:val="Title"/>
    <w:rsid w:val="00E14FB6"/>
    <w:rPr>
      <w:rFonts w:ascii="Arial" w:eastAsia="Calibri" w:hAnsi="Arial"/>
      <w:b/>
      <w:sz w:val="28"/>
      <w:szCs w:val="22"/>
      <w:lang w:val="en-AU" w:eastAsia="en-US" w:bidi="ar-SA"/>
    </w:rPr>
  </w:style>
  <w:style w:type="paragraph" w:customStyle="1" w:styleId="Bullet">
    <w:name w:val="Bullet"/>
    <w:basedOn w:val="Normal"/>
    <w:semiHidden/>
    <w:rsid w:val="00014181"/>
    <w:pPr>
      <w:keepLines/>
      <w:numPr>
        <w:numId w:val="28"/>
      </w:numPr>
      <w:spacing w:line="276" w:lineRule="auto"/>
      <w:jc w:val="left"/>
    </w:pPr>
    <w:rPr>
      <w:rFonts w:eastAsia="Calibri"/>
      <w:snapToGrid w:val="0"/>
      <w:color w:val="000000"/>
      <w:szCs w:val="22"/>
      <w:lang w:val="en-US"/>
    </w:rPr>
  </w:style>
  <w:style w:type="character" w:styleId="CommentReference">
    <w:name w:val="annotation reference"/>
    <w:uiPriority w:val="99"/>
    <w:semiHidden/>
    <w:rsid w:val="00E70CD9"/>
    <w:rPr>
      <w:sz w:val="16"/>
      <w:szCs w:val="16"/>
    </w:rPr>
  </w:style>
  <w:style w:type="paragraph" w:styleId="CommentText">
    <w:name w:val="annotation text"/>
    <w:basedOn w:val="Normal"/>
    <w:link w:val="CommentTextChar"/>
    <w:uiPriority w:val="99"/>
    <w:rsid w:val="00E70CD9"/>
    <w:rPr>
      <w:szCs w:val="20"/>
    </w:rPr>
  </w:style>
  <w:style w:type="paragraph" w:styleId="CommentSubject">
    <w:name w:val="annotation subject"/>
    <w:basedOn w:val="CommentText"/>
    <w:next w:val="CommentText"/>
    <w:semiHidden/>
    <w:rsid w:val="00E70CD9"/>
    <w:rPr>
      <w:b/>
      <w:bCs/>
    </w:rPr>
  </w:style>
  <w:style w:type="paragraph" w:styleId="Revision">
    <w:name w:val="Revision"/>
    <w:hidden/>
    <w:uiPriority w:val="99"/>
    <w:semiHidden/>
    <w:rsid w:val="00D06C01"/>
    <w:rPr>
      <w:rFonts w:ascii="Arial" w:hAnsi="Arial"/>
      <w:szCs w:val="24"/>
    </w:rPr>
  </w:style>
  <w:style w:type="character" w:customStyle="1" w:styleId="CommentTextChar">
    <w:name w:val="Comment Text Char"/>
    <w:link w:val="CommentText"/>
    <w:uiPriority w:val="99"/>
    <w:locked/>
    <w:rsid w:val="007E12AD"/>
    <w:rPr>
      <w:rFonts w:ascii="Arial" w:hAnsi="Arial"/>
    </w:rPr>
  </w:style>
  <w:style w:type="character" w:customStyle="1" w:styleId="Heading2Char">
    <w:name w:val="Heading 2 Char"/>
    <w:link w:val="Heading2"/>
    <w:semiHidden/>
    <w:rsid w:val="003B6005"/>
    <w:rPr>
      <w:rFonts w:ascii="Cambria" w:hAnsi="Cambria"/>
      <w:b/>
      <w:bCs/>
      <w:color w:val="4F81BD"/>
      <w:sz w:val="26"/>
      <w:szCs w:val="26"/>
    </w:rPr>
  </w:style>
  <w:style w:type="paragraph" w:styleId="TOC4">
    <w:name w:val="toc 4"/>
    <w:basedOn w:val="Normal"/>
    <w:next w:val="Normal"/>
    <w:autoRedefine/>
    <w:rsid w:val="003B6005"/>
    <w:pPr>
      <w:spacing w:after="100"/>
      <w:ind w:left="600"/>
    </w:pPr>
  </w:style>
  <w:style w:type="paragraph" w:styleId="TOC5">
    <w:name w:val="toc 5"/>
    <w:basedOn w:val="Normal"/>
    <w:next w:val="Normal"/>
    <w:autoRedefine/>
    <w:rsid w:val="003B6005"/>
    <w:pPr>
      <w:spacing w:after="100"/>
      <w:ind w:left="800"/>
    </w:pPr>
  </w:style>
  <w:style w:type="paragraph" w:styleId="TOC6">
    <w:name w:val="toc 6"/>
    <w:basedOn w:val="Normal"/>
    <w:next w:val="Normal"/>
    <w:autoRedefine/>
    <w:rsid w:val="003B6005"/>
    <w:pPr>
      <w:spacing w:after="100"/>
      <w:ind w:left="1000"/>
    </w:pPr>
  </w:style>
  <w:style w:type="paragraph" w:styleId="TOC7">
    <w:name w:val="toc 7"/>
    <w:basedOn w:val="Normal"/>
    <w:next w:val="Normal"/>
    <w:autoRedefine/>
    <w:rsid w:val="003B6005"/>
    <w:pPr>
      <w:spacing w:after="100"/>
      <w:ind w:left="1200"/>
    </w:pPr>
  </w:style>
  <w:style w:type="paragraph" w:styleId="TOC8">
    <w:name w:val="toc 8"/>
    <w:basedOn w:val="Normal"/>
    <w:next w:val="Normal"/>
    <w:autoRedefine/>
    <w:rsid w:val="003B6005"/>
    <w:pPr>
      <w:spacing w:after="100"/>
      <w:ind w:left="1400"/>
    </w:pPr>
  </w:style>
  <w:style w:type="paragraph" w:styleId="TOC9">
    <w:name w:val="toc 9"/>
    <w:basedOn w:val="Normal"/>
    <w:next w:val="Normal"/>
    <w:autoRedefine/>
    <w:rsid w:val="003B6005"/>
    <w:pPr>
      <w:spacing w:after="100"/>
      <w:ind w:left="1600"/>
    </w:pPr>
  </w:style>
  <w:style w:type="paragraph" w:customStyle="1" w:styleId="ASDEFCONList">
    <w:name w:val="ASDEFCON List"/>
    <w:basedOn w:val="ASDEFCONNormal"/>
    <w:qFormat/>
    <w:rsid w:val="003B6005"/>
    <w:pPr>
      <w:numPr>
        <w:numId w:val="51"/>
      </w:numPr>
    </w:pPr>
  </w:style>
  <w:style w:type="paragraph" w:styleId="TOCHeading">
    <w:name w:val="TOC Heading"/>
    <w:basedOn w:val="Heading1"/>
    <w:next w:val="Normal"/>
    <w:uiPriority w:val="39"/>
    <w:semiHidden/>
    <w:unhideWhenUsed/>
    <w:qFormat/>
    <w:rsid w:val="000F3720"/>
    <w:pPr>
      <w:keepLines/>
      <w:numPr>
        <w:numId w:val="0"/>
      </w:numPr>
      <w:spacing w:after="0"/>
      <w:outlineLvl w:val="9"/>
    </w:pPr>
    <w:rPr>
      <w:rFonts w:asciiTheme="majorHAnsi" w:eastAsiaTheme="majorEastAsia" w:hAnsiTheme="majorHAnsi" w:cstheme="majorBidi"/>
      <w:b w:val="0"/>
      <w:bCs w:val="0"/>
      <w:color w:val="2E74B5" w:themeColor="accent1" w:themeShade="BF"/>
      <w:kern w:val="0"/>
    </w:rPr>
  </w:style>
  <w:style w:type="character" w:styleId="FootnoteReference">
    <w:name w:val="footnote reference"/>
    <w:basedOn w:val="DefaultParagraphFont"/>
    <w:rsid w:val="00416AE5"/>
    <w:rPr>
      <w:vertAlign w:val="superscript"/>
    </w:rPr>
  </w:style>
  <w:style w:type="character" w:customStyle="1" w:styleId="FooterChar">
    <w:name w:val="Footer Char"/>
    <w:basedOn w:val="DefaultParagraphFont"/>
    <w:link w:val="Footer"/>
    <w:uiPriority w:val="99"/>
    <w:rsid w:val="00CA1814"/>
    <w:rPr>
      <w:rFonts w:ascii="Arial" w:hAnsi="Arial"/>
      <w:szCs w:val="24"/>
    </w:rPr>
  </w:style>
  <w:style w:type="paragraph" w:customStyle="1" w:styleId="HandbookLevel2Header">
    <w:name w:val="Handbook Level 2 Header"/>
    <w:basedOn w:val="Heading2"/>
    <w:autoRedefine/>
    <w:qFormat/>
    <w:rsid w:val="003B6005"/>
    <w:pPr>
      <w:pBdr>
        <w:top w:val="single" w:sz="4" w:space="1" w:color="E86D1F"/>
      </w:pBdr>
      <w:spacing w:after="240"/>
    </w:pPr>
    <w:rPr>
      <w:rFonts w:ascii="Arial Bold" w:hAnsi="Arial Bold"/>
      <w:color w:val="E86D1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95848">
      <w:bodyDiv w:val="1"/>
      <w:marLeft w:val="0"/>
      <w:marRight w:val="0"/>
      <w:marTop w:val="0"/>
      <w:marBottom w:val="0"/>
      <w:divBdr>
        <w:top w:val="none" w:sz="0" w:space="0" w:color="auto"/>
        <w:left w:val="none" w:sz="0" w:space="0" w:color="auto"/>
        <w:bottom w:val="none" w:sz="0" w:space="0" w:color="auto"/>
        <w:right w:val="none" w:sz="0" w:space="0" w:color="auto"/>
      </w:divBdr>
    </w:div>
    <w:div w:id="697045184">
      <w:bodyDiv w:val="1"/>
      <w:marLeft w:val="0"/>
      <w:marRight w:val="0"/>
      <w:marTop w:val="0"/>
      <w:marBottom w:val="0"/>
      <w:divBdr>
        <w:top w:val="none" w:sz="0" w:space="0" w:color="auto"/>
        <w:left w:val="none" w:sz="0" w:space="0" w:color="auto"/>
        <w:bottom w:val="none" w:sz="0" w:space="0" w:color="auto"/>
        <w:right w:val="none" w:sz="0" w:space="0" w:color="auto"/>
      </w:divBdr>
    </w:div>
    <w:div w:id="10711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sanhonour.gov.au/coat-arms/index.cfm"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rnet.defence.gov.au/DMO/PP/ASDEFCONandContracting/ACIPInitiative/pages/ACIP%20Initiative.aspx" TargetMode="Externa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hyperlink" Target="https://objective/id:AB10851802"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objective/id:AB236262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4.png"/><Relationship Id="rId10" Type="http://schemas.openxmlformats.org/officeDocument/2006/relationships/hyperlink" Target="http://creativecommons.org/licenses/by/3.0/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hyperlink" Target="mailto:Procurement.ASDEFCON@defence.gov.au" TargetMode="External"/><Relationship Id="rId22" Type="http://schemas.openxmlformats.org/officeDocument/2006/relationships/image" Target="media/image3.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mc.gov.au/resource-centre/regulation/best-practice-regulation-guidance-note-value-statistical-lif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85userdata.dpe.protected.mil.au\la\lauren.massey\AppSenseData\Templates\ASDEFCON%20Styles%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A21A5-7B2E-447D-A3CA-FAF219F2B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ASDEFCON Styles 2015</Template>
  <TotalTime>4</TotalTime>
  <Pages>26</Pages>
  <Words>6893</Words>
  <Characters>38061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44865</CharactersWithSpaces>
  <SharedDoc>false</SharedDoc>
  <HyperlinkBase/>
  <HLinks>
    <vt:vector size="36" baseType="variant">
      <vt:variant>
        <vt:i4>786518</vt:i4>
      </vt:variant>
      <vt:variant>
        <vt:i4>18</vt:i4>
      </vt:variant>
      <vt:variant>
        <vt:i4>0</vt:i4>
      </vt:variant>
      <vt:variant>
        <vt:i4>5</vt:i4>
      </vt:variant>
      <vt:variant>
        <vt:lpwstr>http://qemsdmo.eas.defence.mil.au/DesktopModules/QEMS/Client/QIPS/links.aspx?linkid=2254</vt:lpwstr>
      </vt:variant>
      <vt:variant>
        <vt:lpwstr/>
      </vt:variant>
      <vt:variant>
        <vt:i4>4784230</vt:i4>
      </vt:variant>
      <vt:variant>
        <vt:i4>15</vt:i4>
      </vt:variant>
      <vt:variant>
        <vt:i4>0</vt:i4>
      </vt:variant>
      <vt:variant>
        <vt:i4>5</vt:i4>
      </vt:variant>
      <vt:variant>
        <vt:lpwstr>mailto:Procurement.ASDEFCON@defence.gov.au</vt:lpwstr>
      </vt:variant>
      <vt:variant>
        <vt:lpwstr/>
      </vt:variant>
      <vt:variant>
        <vt:i4>589844</vt:i4>
      </vt:variant>
      <vt:variant>
        <vt:i4>12</vt:i4>
      </vt:variant>
      <vt:variant>
        <vt:i4>0</vt:i4>
      </vt:variant>
      <vt:variant>
        <vt:i4>5</vt:i4>
      </vt:variant>
      <vt:variant>
        <vt:lpwstr>http://www.itsanhonour.gov.au/coat-arms/index.cfm</vt:lpwstr>
      </vt:variant>
      <vt:variant>
        <vt:lpwstr/>
      </vt:variant>
      <vt:variant>
        <vt:i4>6488166</vt:i4>
      </vt:variant>
      <vt:variant>
        <vt:i4>9</vt:i4>
      </vt:variant>
      <vt:variant>
        <vt:i4>0</vt:i4>
      </vt:variant>
      <vt:variant>
        <vt:i4>5</vt:i4>
      </vt:variant>
      <vt:variant>
        <vt:lpwstr>http://creativecommons.org/licenses/by/4.0/</vt:lpwstr>
      </vt:variant>
      <vt:variant>
        <vt:lpwstr/>
      </vt:variant>
      <vt:variant>
        <vt:i4>2752572</vt:i4>
      </vt:variant>
      <vt:variant>
        <vt:i4>3</vt:i4>
      </vt:variant>
      <vt:variant>
        <vt:i4>0</vt:i4>
      </vt:variant>
      <vt:variant>
        <vt:i4>5</vt:i4>
      </vt:variant>
      <vt:variant>
        <vt:lpwstr>http://creativecommons.org/licenses/by/3.0/au/</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Massey, Lauren MISS</cp:lastModifiedBy>
  <cp:revision>3</cp:revision>
  <dcterms:created xsi:type="dcterms:W3CDTF">2018-09-13T23:48:00Z</dcterms:created>
  <dcterms:modified xsi:type="dcterms:W3CDTF">2018-10-30T02:46:00Z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AuthorID">
    <vt:lpwstr>RBOX</vt:lpwstr>
  </property>
  <property fmtid="{D5CDD505-2E9C-101B-9397-08002B2CF9AE}" pid="3" name="DMSCountry">
    <vt:lpwstr>AUSTRALIA</vt:lpwstr>
  </property>
  <property fmtid="{D5CDD505-2E9C-101B-9397-08002B2CF9AE}" pid="4" name="DocID">
    <vt:lpwstr>252486731.05</vt:lpwstr>
  </property>
  <property fmtid="{D5CDD505-2E9C-101B-9397-08002B2CF9AE}" pid="5" name="ashurstDocRef">
    <vt:lpwstr>AUSTRALIA\RBOX\252486731.05</vt:lpwstr>
  </property>
  <property fmtid="{D5CDD505-2E9C-101B-9397-08002B2CF9AE}" pid="6" name="Objective-Id">
    <vt:lpwstr>AB32024586</vt:lpwstr>
  </property>
  <property fmtid="{D5CDD505-2E9C-101B-9397-08002B2CF9AE}" pid="7" name="Objective-Title">
    <vt:lpwstr>LRA template V2.0</vt:lpwstr>
  </property>
  <property fmtid="{D5CDD505-2E9C-101B-9397-08002B2CF9AE}" pid="8" name="Objective-Comment">
    <vt:lpwstr/>
  </property>
  <property fmtid="{D5CDD505-2E9C-101B-9397-08002B2CF9AE}" pid="9" name="Objective-CreationStamp">
    <vt:filetime>2017-07-18T23:24:44Z</vt:filetime>
  </property>
  <property fmtid="{D5CDD505-2E9C-101B-9397-08002B2CF9AE}" pid="10" name="Objective-IsApproved">
    <vt:bool>false</vt:bool>
  </property>
  <property fmtid="{D5CDD505-2E9C-101B-9397-08002B2CF9AE}" pid="11" name="Objective-IsPublished">
    <vt:bool>false</vt:bool>
  </property>
  <property fmtid="{D5CDD505-2E9C-101B-9397-08002B2CF9AE}" pid="12" name="Objective-DatePublished">
    <vt:lpwstr/>
  </property>
  <property fmtid="{D5CDD505-2E9C-101B-9397-08002B2CF9AE}" pid="13" name="Objective-ModificationStamp">
    <vt:filetime>2018-10-30T02:45:22Z</vt:filetime>
  </property>
  <property fmtid="{D5CDD505-2E9C-101B-9397-08002B2CF9AE}" pid="14" name="Objective-Owner">
    <vt:lpwstr>Hilder, Christopher Mr</vt:lpwstr>
  </property>
  <property fmtid="{D5CDD505-2E9C-101B-9397-08002B2CF9AE}" pid="15" name="Objective-Path">
    <vt:lpwstr>Objective Global Folder - PROD:Defence Business Units:Capability Acquisition and Sustainment Group:Group Business Management:Commercial Division:MPB : Materiel Procurement Branch:Commercial Policy Practice (CPP):Strategic Management:Policy:ASDEFCON Produc</vt:lpwstr>
  </property>
  <property fmtid="{D5CDD505-2E9C-101B-9397-08002B2CF9AE}" pid="16" name="Objective-Parent">
    <vt:lpwstr>Documents for Publication</vt:lpwstr>
  </property>
  <property fmtid="{D5CDD505-2E9C-101B-9397-08002B2CF9AE}" pid="17" name="Objective-State">
    <vt:lpwstr>Being Edited</vt:lpwstr>
  </property>
  <property fmtid="{D5CDD505-2E9C-101B-9397-08002B2CF9AE}" pid="18" name="Objective-Version">
    <vt:lpwstr>4.13</vt:lpwstr>
  </property>
  <property fmtid="{D5CDD505-2E9C-101B-9397-08002B2CF9AE}" pid="19" name="Objective-VersionNumber">
    <vt:r8>18</vt:r8>
  </property>
  <property fmtid="{D5CDD505-2E9C-101B-9397-08002B2CF9AE}" pid="20" name="Objective-VersionComment">
    <vt:lpwstr>tidy up for procurement board</vt:lpwstr>
  </property>
  <property fmtid="{D5CDD505-2E9C-101B-9397-08002B2CF9AE}" pid="21" name="Objective-FileNumber">
    <vt:lpwstr/>
  </property>
  <property fmtid="{D5CDD505-2E9C-101B-9397-08002B2CF9AE}" pid="22" name="Objective-Classification">
    <vt:lpwstr>Unclassified</vt:lpwstr>
  </property>
  <property fmtid="{D5CDD505-2E9C-101B-9397-08002B2CF9AE}" pid="23" name="Objective-Caveats">
    <vt:lpwstr/>
  </property>
  <property fmtid="{D5CDD505-2E9C-101B-9397-08002B2CF9AE}" pid="24" name="Objective-Document Type [system]">
    <vt:lpwstr/>
  </property>
</Properties>
</file>